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73F54" w14:textId="77777777" w:rsidR="00237487" w:rsidRDefault="00237487" w:rsidP="00237487">
      <w:pPr>
        <w:spacing w:line="480" w:lineRule="auto"/>
        <w:jc w:val="center"/>
        <w:rPr>
          <w:rFonts w:ascii="Times New Roman" w:hAnsi="Times New Roman" w:cs="Times New Roman"/>
          <w:sz w:val="24"/>
          <w:szCs w:val="24"/>
        </w:rPr>
      </w:pPr>
      <w:bookmarkStart w:id="0" w:name="_GoBack"/>
      <w:bookmarkEnd w:id="0"/>
    </w:p>
    <w:p w14:paraId="46F560D7" w14:textId="77777777" w:rsidR="00237487" w:rsidRDefault="00237487" w:rsidP="00237487">
      <w:pPr>
        <w:spacing w:line="480" w:lineRule="auto"/>
        <w:jc w:val="center"/>
        <w:rPr>
          <w:rFonts w:ascii="Times New Roman" w:hAnsi="Times New Roman" w:cs="Times New Roman"/>
          <w:sz w:val="24"/>
          <w:szCs w:val="24"/>
        </w:rPr>
      </w:pPr>
    </w:p>
    <w:p w14:paraId="4E910474" w14:textId="77777777" w:rsidR="00237487" w:rsidRDefault="00237487" w:rsidP="00237487">
      <w:pPr>
        <w:spacing w:line="480" w:lineRule="auto"/>
        <w:jc w:val="center"/>
        <w:rPr>
          <w:rFonts w:ascii="Times New Roman" w:hAnsi="Times New Roman" w:cs="Times New Roman"/>
          <w:sz w:val="24"/>
          <w:szCs w:val="24"/>
        </w:rPr>
      </w:pPr>
    </w:p>
    <w:p w14:paraId="2C64A2A5" w14:textId="77777777" w:rsidR="00237487" w:rsidRDefault="00237487" w:rsidP="00237487">
      <w:pPr>
        <w:spacing w:line="480" w:lineRule="auto"/>
        <w:jc w:val="center"/>
        <w:rPr>
          <w:rFonts w:ascii="Times New Roman" w:hAnsi="Times New Roman" w:cs="Times New Roman"/>
          <w:sz w:val="24"/>
          <w:szCs w:val="24"/>
        </w:rPr>
      </w:pPr>
    </w:p>
    <w:p w14:paraId="2BC058E1" w14:textId="77777777" w:rsidR="00237487" w:rsidRDefault="00237487" w:rsidP="00237487">
      <w:pPr>
        <w:spacing w:line="480" w:lineRule="auto"/>
        <w:jc w:val="center"/>
        <w:rPr>
          <w:rFonts w:ascii="Times New Roman" w:hAnsi="Times New Roman" w:cs="Times New Roman"/>
          <w:sz w:val="24"/>
          <w:szCs w:val="24"/>
        </w:rPr>
      </w:pPr>
    </w:p>
    <w:p w14:paraId="0D1E676A" w14:textId="77777777" w:rsidR="00237487" w:rsidRDefault="00237487" w:rsidP="00237487">
      <w:pPr>
        <w:spacing w:line="480" w:lineRule="auto"/>
        <w:jc w:val="center"/>
        <w:rPr>
          <w:rFonts w:ascii="Times New Roman" w:hAnsi="Times New Roman" w:cs="Times New Roman"/>
          <w:sz w:val="24"/>
          <w:szCs w:val="24"/>
        </w:rPr>
      </w:pPr>
      <w:r>
        <w:rPr>
          <w:rFonts w:ascii="Times New Roman" w:hAnsi="Times New Roman" w:cs="Times New Roman"/>
          <w:sz w:val="24"/>
          <w:szCs w:val="24"/>
        </w:rPr>
        <w:t>Ratio Analysis</w:t>
      </w:r>
    </w:p>
    <w:p w14:paraId="6271FF69" w14:textId="77777777" w:rsidR="00237487" w:rsidRDefault="00237487" w:rsidP="0023748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A6037EF" w14:textId="77777777" w:rsidR="00237487" w:rsidRDefault="00237487" w:rsidP="0023748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84EAF07" w14:textId="77777777" w:rsidR="00237487" w:rsidRDefault="00237487" w:rsidP="005F0955">
      <w:pPr>
        <w:spacing w:line="480" w:lineRule="auto"/>
        <w:rPr>
          <w:rFonts w:ascii="Times New Roman" w:hAnsi="Times New Roman" w:cs="Times New Roman"/>
          <w:sz w:val="24"/>
          <w:szCs w:val="24"/>
        </w:rPr>
      </w:pPr>
    </w:p>
    <w:p w14:paraId="2D9D8C44" w14:textId="77777777" w:rsidR="00237487" w:rsidRDefault="00237487">
      <w:pPr>
        <w:rPr>
          <w:rFonts w:ascii="Times New Roman" w:hAnsi="Times New Roman" w:cs="Times New Roman"/>
          <w:sz w:val="24"/>
          <w:szCs w:val="24"/>
        </w:rPr>
      </w:pPr>
      <w:r>
        <w:rPr>
          <w:rFonts w:ascii="Times New Roman" w:hAnsi="Times New Roman" w:cs="Times New Roman"/>
          <w:sz w:val="24"/>
          <w:szCs w:val="24"/>
        </w:rPr>
        <w:br w:type="page"/>
      </w:r>
    </w:p>
    <w:p w14:paraId="101AD5B0" w14:textId="77777777" w:rsidR="007D5515" w:rsidRDefault="007D5515" w:rsidP="005F095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Financial Ratios</w:t>
      </w:r>
    </w:p>
    <w:p w14:paraId="70847143" w14:textId="77777777" w:rsidR="008C58E4" w:rsidRPr="005F0955" w:rsidRDefault="00B80DF6" w:rsidP="007D5515">
      <w:pPr>
        <w:spacing w:line="480" w:lineRule="auto"/>
        <w:ind w:firstLine="720"/>
        <w:rPr>
          <w:rFonts w:ascii="Times New Roman" w:hAnsi="Times New Roman" w:cs="Times New Roman"/>
          <w:sz w:val="24"/>
          <w:szCs w:val="24"/>
        </w:rPr>
      </w:pPr>
      <w:r w:rsidRPr="005F0955">
        <w:rPr>
          <w:rFonts w:ascii="Times New Roman" w:hAnsi="Times New Roman" w:cs="Times New Roman"/>
          <w:sz w:val="24"/>
          <w:szCs w:val="24"/>
        </w:rPr>
        <w:t>Ratio analysis is the quantitative analy</w:t>
      </w:r>
      <w:r w:rsidR="00FC4519" w:rsidRPr="005F0955">
        <w:rPr>
          <w:rFonts w:ascii="Times New Roman" w:hAnsi="Times New Roman" w:cs="Times New Roman"/>
          <w:sz w:val="24"/>
          <w:szCs w:val="24"/>
        </w:rPr>
        <w:t>sis of the financial statements</w:t>
      </w:r>
      <w:r w:rsidRPr="005F0955">
        <w:rPr>
          <w:rFonts w:ascii="Times New Roman" w:hAnsi="Times New Roman" w:cs="Times New Roman"/>
          <w:sz w:val="24"/>
          <w:szCs w:val="24"/>
        </w:rPr>
        <w:t xml:space="preserve"> </w:t>
      </w:r>
      <w:r w:rsidR="00FC4519" w:rsidRPr="005F0955">
        <w:rPr>
          <w:rFonts w:ascii="Times New Roman" w:hAnsi="Times New Roman" w:cs="Times New Roman"/>
          <w:sz w:val="24"/>
          <w:szCs w:val="24"/>
        </w:rPr>
        <w:t>(</w:t>
      </w:r>
      <w:r w:rsidRPr="005F0955">
        <w:rPr>
          <w:rFonts w:ascii="Times New Roman" w:hAnsi="Times New Roman" w:cs="Times New Roman"/>
          <w:sz w:val="24"/>
          <w:szCs w:val="24"/>
        </w:rPr>
        <w:t>income statement, balance sheet sta</w:t>
      </w:r>
      <w:r w:rsidR="00FC4519" w:rsidRPr="005F0955">
        <w:rPr>
          <w:rFonts w:ascii="Times New Roman" w:hAnsi="Times New Roman" w:cs="Times New Roman"/>
          <w:sz w:val="24"/>
          <w:szCs w:val="24"/>
        </w:rPr>
        <w:t>tement, and cash flow statement)</w:t>
      </w:r>
      <w:r w:rsidRPr="005F0955">
        <w:rPr>
          <w:rFonts w:ascii="Times New Roman" w:hAnsi="Times New Roman" w:cs="Times New Roman"/>
          <w:sz w:val="24"/>
          <w:szCs w:val="24"/>
        </w:rPr>
        <w:t xml:space="preserve"> of a company</w:t>
      </w:r>
      <w:sdt>
        <w:sdtPr>
          <w:rPr>
            <w:rFonts w:ascii="Times New Roman" w:hAnsi="Times New Roman" w:cs="Times New Roman"/>
            <w:sz w:val="24"/>
            <w:szCs w:val="24"/>
          </w:rPr>
          <w:id w:val="866190211"/>
          <w:citation/>
        </w:sdtPr>
        <w:sdtEndPr/>
        <w:sdtContent>
          <w:r w:rsidR="000D047A" w:rsidRPr="005F0955">
            <w:rPr>
              <w:rFonts w:ascii="Times New Roman" w:hAnsi="Times New Roman" w:cs="Times New Roman"/>
              <w:sz w:val="24"/>
              <w:szCs w:val="24"/>
            </w:rPr>
            <w:fldChar w:fldCharType="begin"/>
          </w:r>
          <w:r w:rsidR="000D047A" w:rsidRPr="005F0955">
            <w:rPr>
              <w:rFonts w:ascii="Times New Roman" w:hAnsi="Times New Roman" w:cs="Times New Roman"/>
              <w:sz w:val="24"/>
              <w:szCs w:val="24"/>
            </w:rPr>
            <w:instrText xml:space="preserve"> CITATION Inn13 \l 1033 </w:instrText>
          </w:r>
          <w:r w:rsidR="000D047A" w:rsidRPr="005F0955">
            <w:rPr>
              <w:rFonts w:ascii="Times New Roman" w:hAnsi="Times New Roman" w:cs="Times New Roman"/>
              <w:sz w:val="24"/>
              <w:szCs w:val="24"/>
            </w:rPr>
            <w:fldChar w:fldCharType="separate"/>
          </w:r>
          <w:r w:rsidR="000D047A" w:rsidRPr="005F0955">
            <w:rPr>
              <w:rFonts w:ascii="Times New Roman" w:hAnsi="Times New Roman" w:cs="Times New Roman"/>
              <w:noProof/>
              <w:sz w:val="24"/>
              <w:szCs w:val="24"/>
            </w:rPr>
            <w:t xml:space="preserve"> (Innocent, 2013)</w:t>
          </w:r>
          <w:r w:rsidR="000D047A" w:rsidRPr="005F0955">
            <w:rPr>
              <w:rFonts w:ascii="Times New Roman" w:hAnsi="Times New Roman" w:cs="Times New Roman"/>
              <w:sz w:val="24"/>
              <w:szCs w:val="24"/>
            </w:rPr>
            <w:fldChar w:fldCharType="end"/>
          </w:r>
        </w:sdtContent>
      </w:sdt>
      <w:r w:rsidRPr="005F0955">
        <w:rPr>
          <w:rFonts w:ascii="Times New Roman" w:hAnsi="Times New Roman" w:cs="Times New Roman"/>
          <w:sz w:val="24"/>
          <w:szCs w:val="24"/>
        </w:rPr>
        <w:t>.</w:t>
      </w:r>
      <w:r w:rsidR="00FC4519" w:rsidRPr="005F0955">
        <w:rPr>
          <w:rFonts w:ascii="Times New Roman" w:hAnsi="Times New Roman" w:cs="Times New Roman"/>
          <w:sz w:val="24"/>
          <w:szCs w:val="24"/>
        </w:rPr>
        <w:t xml:space="preserve"> The analysis is used to evaluate aspects company’s operating and financial performance like efficiency, profitability, liquidity, and </w:t>
      </w:r>
      <w:r w:rsidR="0098671D" w:rsidRPr="005F0955">
        <w:rPr>
          <w:rFonts w:ascii="Times New Roman" w:hAnsi="Times New Roman" w:cs="Times New Roman"/>
          <w:sz w:val="24"/>
          <w:szCs w:val="24"/>
        </w:rPr>
        <w:t xml:space="preserve">solvency. Data derived from the company historical financial statements is used to compare a company’s performance over a particular time, this compares whether the company profitability is improving or not, compare company standing with industrial average or with its </w:t>
      </w:r>
      <w:r w:rsidR="00D95467" w:rsidRPr="005F0955">
        <w:rPr>
          <w:rFonts w:ascii="Times New Roman" w:hAnsi="Times New Roman" w:cs="Times New Roman"/>
          <w:sz w:val="24"/>
          <w:szCs w:val="24"/>
        </w:rPr>
        <w:t>competitors</w:t>
      </w:r>
      <w:r w:rsidR="00CF7C7F" w:rsidRPr="005F0955">
        <w:rPr>
          <w:rFonts w:ascii="Times New Roman" w:hAnsi="Times New Roman" w:cs="Times New Roman"/>
          <w:sz w:val="24"/>
          <w:szCs w:val="24"/>
        </w:rPr>
        <w:t>.</w:t>
      </w:r>
    </w:p>
    <w:p w14:paraId="23FA1D9D" w14:textId="77777777" w:rsidR="0008158C" w:rsidRPr="005F0955" w:rsidRDefault="00CF7C7F" w:rsidP="007D5515">
      <w:pPr>
        <w:spacing w:line="480" w:lineRule="auto"/>
        <w:ind w:firstLine="720"/>
        <w:rPr>
          <w:rFonts w:ascii="Times New Roman" w:hAnsi="Times New Roman" w:cs="Times New Roman"/>
          <w:sz w:val="24"/>
          <w:szCs w:val="24"/>
        </w:rPr>
      </w:pPr>
      <w:r w:rsidRPr="005F0955">
        <w:rPr>
          <w:rFonts w:ascii="Times New Roman" w:hAnsi="Times New Roman" w:cs="Times New Roman"/>
          <w:sz w:val="24"/>
          <w:szCs w:val="24"/>
        </w:rPr>
        <w:t xml:space="preserve">Financial ratios provide the greatest way of evaluating a company’s health before understanding more from its financial statements. Most investors consider the key rations when they want to invest in a company. such ratios include the current ratio, return on equity (ROE), the debt-equity (D/E) ratio, the dividend payout ratio, and the price/earnings (P/E) ratio. ratios are categorized </w:t>
      </w:r>
      <w:r w:rsidR="0008158C" w:rsidRPr="005F0955">
        <w:rPr>
          <w:rFonts w:ascii="Times New Roman" w:hAnsi="Times New Roman" w:cs="Times New Roman"/>
          <w:sz w:val="24"/>
          <w:szCs w:val="24"/>
        </w:rPr>
        <w:t>into six</w:t>
      </w:r>
      <w:r w:rsidRPr="005F0955">
        <w:rPr>
          <w:rFonts w:ascii="Times New Roman" w:hAnsi="Times New Roman" w:cs="Times New Roman"/>
          <w:sz w:val="24"/>
          <w:szCs w:val="24"/>
        </w:rPr>
        <w:t xml:space="preserve"> groups, which are Liquidity Ratios, Solvency Ratios, Profitability Ratios, Efficiency Ratios, Coverage Ratios, and Market Prospect Ratios.</w:t>
      </w:r>
    </w:p>
    <w:p w14:paraId="4D4ED6B1" w14:textId="77777777" w:rsidR="0008158C" w:rsidRPr="005F0955" w:rsidRDefault="0008158C"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 xml:space="preserve"> Financial ratios</w:t>
      </w:r>
    </w:p>
    <w:p w14:paraId="648F2927" w14:textId="77777777" w:rsidR="0008158C" w:rsidRPr="005F0955" w:rsidRDefault="0008158C"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Liquidity ratio – Quick ratio</w:t>
      </w:r>
    </w:p>
    <w:p w14:paraId="632AA9BD" w14:textId="77777777" w:rsidR="005F3D4E" w:rsidRPr="005F0955" w:rsidRDefault="0008158C" w:rsidP="007D5515">
      <w:pPr>
        <w:spacing w:line="480" w:lineRule="auto"/>
        <w:ind w:firstLine="720"/>
        <w:rPr>
          <w:rFonts w:ascii="Times New Roman" w:hAnsi="Times New Roman" w:cs="Times New Roman"/>
          <w:sz w:val="24"/>
          <w:szCs w:val="24"/>
        </w:rPr>
      </w:pPr>
      <w:r w:rsidRPr="005F0955">
        <w:rPr>
          <w:rFonts w:ascii="Times New Roman" w:hAnsi="Times New Roman" w:cs="Times New Roman"/>
          <w:sz w:val="24"/>
          <w:szCs w:val="24"/>
        </w:rPr>
        <w:t>Quick ratio is also referred to as an acid test ratio. it measures the ability if the company to pay its current liabilities due with only the quick assets. Quick assets are the company assets that can be converted to cash within a short period of time. Quick assets will include cash, short-term investments, accounts receivables and other cash equivalents</w:t>
      </w:r>
      <w:sdt>
        <w:sdtPr>
          <w:rPr>
            <w:rFonts w:ascii="Times New Roman" w:hAnsi="Times New Roman" w:cs="Times New Roman"/>
            <w:sz w:val="24"/>
            <w:szCs w:val="24"/>
          </w:rPr>
          <w:id w:val="829568181"/>
          <w:citation/>
        </w:sdtPr>
        <w:sdtEndPr/>
        <w:sdtContent>
          <w:r w:rsidR="005F0955" w:rsidRPr="005F0955">
            <w:rPr>
              <w:rFonts w:ascii="Times New Roman" w:hAnsi="Times New Roman" w:cs="Times New Roman"/>
              <w:sz w:val="24"/>
              <w:szCs w:val="24"/>
            </w:rPr>
            <w:fldChar w:fldCharType="begin"/>
          </w:r>
          <w:r w:rsidR="005F0955" w:rsidRPr="005F0955">
            <w:rPr>
              <w:rFonts w:ascii="Times New Roman" w:hAnsi="Times New Roman" w:cs="Times New Roman"/>
              <w:sz w:val="24"/>
              <w:szCs w:val="24"/>
            </w:rPr>
            <w:instrText xml:space="preserve"> CITATION Inn13 \l 1033 </w:instrText>
          </w:r>
          <w:r w:rsidR="005F0955" w:rsidRPr="005F0955">
            <w:rPr>
              <w:rFonts w:ascii="Times New Roman" w:hAnsi="Times New Roman" w:cs="Times New Roman"/>
              <w:sz w:val="24"/>
              <w:szCs w:val="24"/>
            </w:rPr>
            <w:fldChar w:fldCharType="separate"/>
          </w:r>
          <w:r w:rsidR="005F0955" w:rsidRPr="005F0955">
            <w:rPr>
              <w:rFonts w:ascii="Times New Roman" w:hAnsi="Times New Roman" w:cs="Times New Roman"/>
              <w:noProof/>
              <w:sz w:val="24"/>
              <w:szCs w:val="24"/>
            </w:rPr>
            <w:t xml:space="preserve"> (Innocent, 2013)</w:t>
          </w:r>
          <w:r w:rsidR="005F0955" w:rsidRPr="005F0955">
            <w:rPr>
              <w:rFonts w:ascii="Times New Roman" w:hAnsi="Times New Roman" w:cs="Times New Roman"/>
              <w:sz w:val="24"/>
              <w:szCs w:val="24"/>
            </w:rPr>
            <w:fldChar w:fldCharType="end"/>
          </w:r>
        </w:sdtContent>
      </w:sdt>
      <w:r w:rsidRPr="005F0955">
        <w:rPr>
          <w:rFonts w:ascii="Times New Roman" w:hAnsi="Times New Roman" w:cs="Times New Roman"/>
          <w:sz w:val="24"/>
          <w:szCs w:val="24"/>
        </w:rPr>
        <w:t xml:space="preserve">. The ratio shows well how a company can easily </w:t>
      </w:r>
      <w:r w:rsidR="005F3D4E" w:rsidRPr="005F0955">
        <w:rPr>
          <w:rFonts w:ascii="Times New Roman" w:hAnsi="Times New Roman" w:cs="Times New Roman"/>
          <w:sz w:val="24"/>
          <w:szCs w:val="24"/>
        </w:rPr>
        <w:t>convert</w:t>
      </w:r>
      <w:r w:rsidRPr="005F0955">
        <w:rPr>
          <w:rFonts w:ascii="Times New Roman" w:hAnsi="Times New Roman" w:cs="Times New Roman"/>
          <w:sz w:val="24"/>
          <w:szCs w:val="24"/>
        </w:rPr>
        <w:t xml:space="preserve"> its assets into cash in order to pay off its current </w:t>
      </w:r>
      <w:r w:rsidRPr="005F0955">
        <w:rPr>
          <w:rFonts w:ascii="Times New Roman" w:hAnsi="Times New Roman" w:cs="Times New Roman"/>
          <w:sz w:val="24"/>
          <w:szCs w:val="24"/>
        </w:rPr>
        <w:lastRenderedPageBreak/>
        <w:t xml:space="preserve">labilities. </w:t>
      </w:r>
      <w:r w:rsidR="005F3D4E" w:rsidRPr="005F0955">
        <w:rPr>
          <w:rFonts w:ascii="Times New Roman" w:hAnsi="Times New Roman" w:cs="Times New Roman"/>
          <w:sz w:val="24"/>
          <w:szCs w:val="24"/>
        </w:rPr>
        <w:t xml:space="preserve">Its calculated by subtracting inventories from total current assets then divide by the current liabilities. </w:t>
      </w:r>
    </w:p>
    <w:p w14:paraId="76BE9910" w14:textId="77777777" w:rsidR="007D4CE4" w:rsidRPr="005F0955" w:rsidRDefault="005F3D4E" w:rsidP="007D5515">
      <w:pPr>
        <w:spacing w:line="480" w:lineRule="auto"/>
        <w:ind w:firstLine="720"/>
        <w:rPr>
          <w:rFonts w:ascii="Times New Roman" w:hAnsi="Times New Roman" w:cs="Times New Roman"/>
          <w:sz w:val="24"/>
          <w:szCs w:val="24"/>
        </w:rPr>
      </w:pPr>
      <w:r w:rsidRPr="005F0955">
        <w:rPr>
          <w:rFonts w:ascii="Times New Roman" w:hAnsi="Times New Roman" w:cs="Times New Roman"/>
          <w:sz w:val="24"/>
          <w:szCs w:val="24"/>
        </w:rPr>
        <w:t xml:space="preserve">A company having enough quick assets to cover its total current liabilities will be able to pay off its current liabilities without selling of any of its fixed assets thus will be an indication to investors that the current operations of a company are making enough profits to pay off current liabilities. </w:t>
      </w:r>
      <w:r w:rsidR="00F114E0" w:rsidRPr="005F0955">
        <w:rPr>
          <w:rFonts w:ascii="Times New Roman" w:hAnsi="Times New Roman" w:cs="Times New Roman"/>
          <w:sz w:val="24"/>
          <w:szCs w:val="24"/>
        </w:rPr>
        <w:t xml:space="preserve">A company with higher quick ratio is favorable because it indicates that its quick assets are greater that its current liabilities. Quick ratio of 1 shows that quick assets of a company is equal to its current liabilities. </w:t>
      </w:r>
      <w:r w:rsidR="007D4CE4" w:rsidRPr="005F0955">
        <w:rPr>
          <w:rFonts w:ascii="Times New Roman" w:hAnsi="Times New Roman" w:cs="Times New Roman"/>
          <w:sz w:val="24"/>
          <w:szCs w:val="24"/>
        </w:rPr>
        <w:t>A quick ratio of 2 implies that the company quick assets are twice its current liabilities. An increase in liquidity ratio increases the liquidity of a company</w:t>
      </w:r>
    </w:p>
    <w:p w14:paraId="0903001D" w14:textId="77777777" w:rsidR="00831868" w:rsidRPr="005F0955" w:rsidRDefault="00831868"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Example</w:t>
      </w:r>
    </w:p>
    <w:p w14:paraId="53281168" w14:textId="77777777" w:rsidR="00831868" w:rsidRPr="005F0955" w:rsidRDefault="00831868"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Carolyn clinic center has presented the following data for the calculation of quick ratio</w:t>
      </w:r>
      <w:r w:rsidR="00F43169" w:rsidRPr="005F0955">
        <w:rPr>
          <w:rFonts w:ascii="Times New Roman" w:hAnsi="Times New Roman" w:cs="Times New Roman"/>
          <w:sz w:val="24"/>
          <w:szCs w:val="24"/>
        </w:rPr>
        <w:t>:</w:t>
      </w:r>
    </w:p>
    <w:p w14:paraId="43309773" w14:textId="77777777" w:rsidR="00F43169" w:rsidRPr="005F0955" w:rsidRDefault="00F43169"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 xml:space="preserve">Current assets </w:t>
      </w:r>
      <w:r w:rsidRPr="005F0955">
        <w:rPr>
          <w:rFonts w:ascii="Times New Roman" w:hAnsi="Times New Roman" w:cs="Times New Roman"/>
          <w:sz w:val="24"/>
          <w:szCs w:val="24"/>
        </w:rPr>
        <w:tab/>
      </w:r>
      <w:r w:rsidRPr="005F0955">
        <w:rPr>
          <w:rFonts w:ascii="Times New Roman" w:hAnsi="Times New Roman" w:cs="Times New Roman"/>
          <w:sz w:val="24"/>
          <w:szCs w:val="24"/>
        </w:rPr>
        <w:tab/>
        <w:t>$6,000</w:t>
      </w:r>
    </w:p>
    <w:p w14:paraId="3A2EFA5C" w14:textId="77777777" w:rsidR="00F43169" w:rsidRPr="005F0955" w:rsidRDefault="00F43169"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 xml:space="preserve">Inventories </w:t>
      </w:r>
      <w:r w:rsidRPr="005F0955">
        <w:rPr>
          <w:rFonts w:ascii="Times New Roman" w:hAnsi="Times New Roman" w:cs="Times New Roman"/>
          <w:sz w:val="24"/>
          <w:szCs w:val="24"/>
        </w:rPr>
        <w:tab/>
      </w:r>
      <w:r w:rsidRPr="005F0955">
        <w:rPr>
          <w:rFonts w:ascii="Times New Roman" w:hAnsi="Times New Roman" w:cs="Times New Roman"/>
          <w:sz w:val="24"/>
          <w:szCs w:val="24"/>
        </w:rPr>
        <w:tab/>
        <w:t>$1,500</w:t>
      </w:r>
    </w:p>
    <w:p w14:paraId="37475E42" w14:textId="77777777" w:rsidR="00F43169" w:rsidRPr="005F0955" w:rsidRDefault="00F43169"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 xml:space="preserve">Current liabilities </w:t>
      </w:r>
      <w:r w:rsidRPr="005F0955">
        <w:rPr>
          <w:rFonts w:ascii="Times New Roman" w:hAnsi="Times New Roman" w:cs="Times New Roman"/>
          <w:sz w:val="24"/>
          <w:szCs w:val="24"/>
        </w:rPr>
        <w:tab/>
        <w:t>$3,000</w:t>
      </w:r>
    </w:p>
    <w:p w14:paraId="47F7E4B7" w14:textId="77777777" w:rsidR="00F43169" w:rsidRPr="005F0955" w:rsidRDefault="00F43169" w:rsidP="005F0955">
      <w:pPr>
        <w:spacing w:line="480" w:lineRule="auto"/>
        <w:rPr>
          <w:rFonts w:ascii="Times New Roman" w:hAnsi="Times New Roman" w:cs="Times New Roman"/>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96DA3CB" wp14:editId="4E31515A">
                <wp:simplePos x="0" y="0"/>
                <wp:positionH relativeFrom="column">
                  <wp:posOffset>647700</wp:posOffset>
                </wp:positionH>
                <wp:positionV relativeFrom="paragraph">
                  <wp:posOffset>222250</wp:posOffset>
                </wp:positionV>
                <wp:extent cx="1790700" cy="9525"/>
                <wp:effectExtent l="0" t="0" r="19050" b="28575"/>
                <wp:wrapNone/>
                <wp:docPr id="1" name="Straight Connector 1"/>
                <wp:cNvGraphicFramePr/>
                <a:graphic xmlns:a="http://schemas.openxmlformats.org/drawingml/2006/main">
                  <a:graphicData uri="http://schemas.microsoft.com/office/word/2010/wordprocessingShape">
                    <wps:wsp>
                      <wps:cNvCnPr/>
                      <wps:spPr>
                        <a:xfrm>
                          <a:off x="0" y="0"/>
                          <a:ext cx="17907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483F57"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7.5pt" to="19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" strokecolor="black [3200]" strokeweight=".5pt">
                <v:stroke joinstyle="miter"/>
              </v:line>
            </w:pict>
          </mc:Fallback>
        </mc:AlternateContent>
      </w:r>
      <w:r w:rsidRPr="005F0955">
        <w:rPr>
          <w:rFonts w:ascii="Times New Roman" w:hAnsi="Times New Roman" w:cs="Times New Roman"/>
          <w:sz w:val="24"/>
          <w:szCs w:val="24"/>
        </w:rPr>
        <w:t>Quick ratio = Current assets – inventories</w:t>
      </w:r>
    </w:p>
    <w:p w14:paraId="0C0E190D" w14:textId="77777777" w:rsidR="00F43169" w:rsidRPr="005F0955" w:rsidRDefault="00F43169"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ab/>
      </w:r>
      <w:r w:rsidRPr="005F0955">
        <w:rPr>
          <w:rFonts w:ascii="Times New Roman" w:hAnsi="Times New Roman" w:cs="Times New Roman"/>
          <w:sz w:val="24"/>
          <w:szCs w:val="24"/>
        </w:rPr>
        <w:tab/>
        <w:t xml:space="preserve">Current Liabilities </w:t>
      </w:r>
    </w:p>
    <w:p w14:paraId="13E3AFAA" w14:textId="77777777" w:rsidR="00F43169" w:rsidRPr="005F0955" w:rsidRDefault="00F43169" w:rsidP="005F0955">
      <w:pPr>
        <w:spacing w:line="480" w:lineRule="auto"/>
        <w:rPr>
          <w:rFonts w:ascii="Times New Roman" w:hAnsi="Times New Roman" w:cs="Times New Roman"/>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50AC2C9" wp14:editId="18DF71BD">
                <wp:simplePos x="0" y="0"/>
                <wp:positionH relativeFrom="column">
                  <wp:posOffset>647700</wp:posOffset>
                </wp:positionH>
                <wp:positionV relativeFrom="paragraph">
                  <wp:posOffset>222250</wp:posOffset>
                </wp:positionV>
                <wp:extent cx="1790700" cy="952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17907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960933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7.5pt" to="19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" strokecolor="windowText" strokeweight=".5pt">
                <v:stroke joinstyle="miter"/>
              </v:line>
            </w:pict>
          </mc:Fallback>
        </mc:AlternateContent>
      </w:r>
      <w:r w:rsidRPr="005F0955">
        <w:rPr>
          <w:rFonts w:ascii="Times New Roman" w:hAnsi="Times New Roman" w:cs="Times New Roman"/>
          <w:sz w:val="24"/>
          <w:szCs w:val="24"/>
        </w:rPr>
        <w:t>Quick ratio = $6,000 – $1,500</w:t>
      </w:r>
      <w:r w:rsidRPr="005F0955">
        <w:rPr>
          <w:rFonts w:ascii="Times New Roman" w:hAnsi="Times New Roman" w:cs="Times New Roman"/>
          <w:sz w:val="24"/>
          <w:szCs w:val="24"/>
        </w:rPr>
        <w:tab/>
      </w:r>
      <w:r w:rsidRPr="005F0955">
        <w:rPr>
          <w:rFonts w:ascii="Times New Roman" w:hAnsi="Times New Roman" w:cs="Times New Roman"/>
          <w:sz w:val="24"/>
          <w:szCs w:val="24"/>
        </w:rPr>
        <w:tab/>
        <w:t xml:space="preserve">= </w:t>
      </w:r>
      <w:r w:rsidRPr="005F0955">
        <w:rPr>
          <w:rFonts w:ascii="Times New Roman" w:hAnsi="Times New Roman" w:cs="Times New Roman"/>
          <w:sz w:val="24"/>
          <w:szCs w:val="24"/>
        </w:rPr>
        <w:tab/>
        <w:t>1.5 or 150%</w:t>
      </w:r>
    </w:p>
    <w:p w14:paraId="20D6B91E" w14:textId="77777777" w:rsidR="00F43169" w:rsidRPr="005F0955" w:rsidRDefault="00F43169"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ab/>
      </w:r>
      <w:r w:rsidRPr="005F0955">
        <w:rPr>
          <w:rFonts w:ascii="Times New Roman" w:hAnsi="Times New Roman" w:cs="Times New Roman"/>
          <w:sz w:val="24"/>
          <w:szCs w:val="24"/>
        </w:rPr>
        <w:tab/>
        <w:t>$3,000</w:t>
      </w:r>
    </w:p>
    <w:p w14:paraId="68887BC1" w14:textId="77777777" w:rsidR="00BF76C1" w:rsidRPr="005F0955" w:rsidRDefault="00BF76C1"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 xml:space="preserve">Carolyn quick ratio is 1.5, this implies that Carolyn can pay off all of its current liabilities with current assets and still remains with some quick assets. </w:t>
      </w:r>
    </w:p>
    <w:p w14:paraId="57007C5E" w14:textId="77777777" w:rsidR="003665ED" w:rsidRPr="005F0955" w:rsidRDefault="003665ED"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lastRenderedPageBreak/>
        <w:t>Profitability ratios – ROE</w:t>
      </w:r>
    </w:p>
    <w:p w14:paraId="48B01982" w14:textId="77777777" w:rsidR="003665ED" w:rsidRPr="005F0955" w:rsidRDefault="003665ED" w:rsidP="007D5515">
      <w:pPr>
        <w:spacing w:line="480" w:lineRule="auto"/>
        <w:ind w:firstLine="720"/>
        <w:rPr>
          <w:rFonts w:ascii="Times New Roman" w:hAnsi="Times New Roman" w:cs="Times New Roman"/>
          <w:sz w:val="24"/>
          <w:szCs w:val="24"/>
        </w:rPr>
      </w:pPr>
      <w:r w:rsidRPr="005F0955">
        <w:rPr>
          <w:rFonts w:ascii="Times New Roman" w:hAnsi="Times New Roman" w:cs="Times New Roman"/>
          <w:sz w:val="24"/>
          <w:szCs w:val="24"/>
        </w:rPr>
        <w:t>ROE measures the ability of a company to generate profits from its shareholders’ investments in the company. the ratio shows the amount of profit generated by each dollar of common shareholders’ equity. ROE of 1 implies that every dollar of common shareholders’ fund generates a dollar of net income</w:t>
      </w:r>
      <w:r w:rsidR="00AA67A7" w:rsidRPr="005F0955">
        <w:rPr>
          <w:rFonts w:ascii="Times New Roman" w:hAnsi="Times New Roman" w:cs="Times New Roman"/>
          <w:sz w:val="24"/>
          <w:szCs w:val="24"/>
        </w:rPr>
        <w:t xml:space="preserve">. investors use the ratio to measure the efficiency of a company in using their money to generate income. ROA also shows the effectiveness of company management in using the equity financing to fund operations and grow the company. ROE is calculated by dividing the net income by total shareholders’ fund. </w:t>
      </w:r>
    </w:p>
    <w:p w14:paraId="26CF77A1" w14:textId="77777777" w:rsidR="00567343" w:rsidRPr="005F0955" w:rsidRDefault="00BC27C8"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ROE is computed mostly for common shareholders, therefore, preferred dividends are not included in the computation</w:t>
      </w:r>
      <w:r w:rsidR="003A6666" w:rsidRPr="005F0955">
        <w:rPr>
          <w:rFonts w:ascii="Times New Roman" w:hAnsi="Times New Roman" w:cs="Times New Roman"/>
          <w:sz w:val="24"/>
          <w:szCs w:val="24"/>
        </w:rPr>
        <w:t xml:space="preserve"> because the profits are not available to common shareholders. ROE is a profitability ration from the investors point of view. This is because the ratio calculates the amount of money made based on the investors’ investment in the </w:t>
      </w:r>
      <w:r w:rsidR="00567343" w:rsidRPr="005F0955">
        <w:rPr>
          <w:rFonts w:ascii="Times New Roman" w:hAnsi="Times New Roman" w:cs="Times New Roman"/>
          <w:sz w:val="24"/>
          <w:szCs w:val="24"/>
        </w:rPr>
        <w:t>company not the company investment in the assets. Any investor wants to see a higher ROE ratio because this shows that the company is using investors’ funds effectively. As much as higher ratios are better than the lower ratios, they also have to be compared to other ratios in the industry. formula for calculating ROE is:</w:t>
      </w:r>
    </w:p>
    <w:p w14:paraId="002D2872" w14:textId="77777777" w:rsidR="00567343" w:rsidRPr="005F0955" w:rsidRDefault="00083387"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F1B1588" wp14:editId="5D15F33F">
                <wp:simplePos x="0" y="0"/>
                <wp:positionH relativeFrom="column">
                  <wp:posOffset>676275</wp:posOffset>
                </wp:positionH>
                <wp:positionV relativeFrom="paragraph">
                  <wp:posOffset>227965</wp:posOffset>
                </wp:positionV>
                <wp:extent cx="1790700" cy="95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17907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29E854"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7.95pt" to="194.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" strokecolor="windowText" strokeweight=".5pt">
                <v:stroke joinstyle="miter"/>
              </v:line>
            </w:pict>
          </mc:Fallback>
        </mc:AlternateContent>
      </w:r>
      <w:r w:rsidR="00567343" w:rsidRPr="005F0955">
        <w:rPr>
          <w:rFonts w:ascii="Times New Roman" w:hAnsi="Times New Roman" w:cs="Times New Roman"/>
          <w:noProof/>
          <w:sz w:val="24"/>
          <w:szCs w:val="24"/>
        </w:rPr>
        <w:t>Return on Equity = Net income</w:t>
      </w:r>
    </w:p>
    <w:p w14:paraId="5F753F6E" w14:textId="77777777" w:rsidR="00567343" w:rsidRPr="005F0955" w:rsidRDefault="00083387" w:rsidP="005F0955">
      <w:pPr>
        <w:spacing w:line="480" w:lineRule="auto"/>
        <w:ind w:left="720" w:firstLine="720"/>
        <w:rPr>
          <w:rFonts w:ascii="Times New Roman" w:hAnsi="Times New Roman" w:cs="Times New Roman"/>
          <w:noProof/>
          <w:sz w:val="24"/>
          <w:szCs w:val="24"/>
        </w:rPr>
      </w:pPr>
      <w:r w:rsidRPr="005F0955">
        <w:rPr>
          <w:rFonts w:ascii="Times New Roman" w:hAnsi="Times New Roman" w:cs="Times New Roman"/>
          <w:noProof/>
          <w:sz w:val="24"/>
          <w:szCs w:val="24"/>
        </w:rPr>
        <w:t>Shareholders’ fund</w:t>
      </w:r>
    </w:p>
    <w:p w14:paraId="300F4AA3" w14:textId="77777777" w:rsidR="00AA67A7" w:rsidRPr="005F0955" w:rsidRDefault="00083387"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Example</w:t>
      </w:r>
    </w:p>
    <w:p w14:paraId="55AF11C0" w14:textId="77777777" w:rsidR="00083387" w:rsidRPr="005F0955" w:rsidRDefault="00083387"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Carolyn clinic center has presented the following data for the calculation of ROE:</w:t>
      </w:r>
    </w:p>
    <w:p w14:paraId="3848D7FB" w14:textId="77777777" w:rsidR="00083387" w:rsidRPr="005F0955" w:rsidRDefault="00083387"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Net income</w:t>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t>$18,000</w:t>
      </w:r>
    </w:p>
    <w:p w14:paraId="5D927ADE" w14:textId="77777777" w:rsidR="00083387" w:rsidRPr="005F0955" w:rsidRDefault="00083387"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lastRenderedPageBreak/>
        <w:t>Total Shareholders’ equity</w:t>
      </w:r>
      <w:r w:rsidRPr="005F0955">
        <w:rPr>
          <w:rFonts w:ascii="Times New Roman" w:hAnsi="Times New Roman" w:cs="Times New Roman"/>
          <w:sz w:val="24"/>
          <w:szCs w:val="24"/>
        </w:rPr>
        <w:tab/>
      </w:r>
      <w:r w:rsidRPr="005F0955">
        <w:rPr>
          <w:rFonts w:ascii="Times New Roman" w:hAnsi="Times New Roman" w:cs="Times New Roman"/>
          <w:sz w:val="24"/>
          <w:szCs w:val="24"/>
        </w:rPr>
        <w:tab/>
        <w:t>$12,000</w:t>
      </w:r>
    </w:p>
    <w:p w14:paraId="578089D0" w14:textId="77777777" w:rsidR="00083387" w:rsidRPr="005F0955" w:rsidRDefault="00083387"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E21A6DB" wp14:editId="5C0AF9C5">
                <wp:simplePos x="0" y="0"/>
                <wp:positionH relativeFrom="column">
                  <wp:posOffset>676275</wp:posOffset>
                </wp:positionH>
                <wp:positionV relativeFrom="paragraph">
                  <wp:posOffset>227965</wp:posOffset>
                </wp:positionV>
                <wp:extent cx="1790700" cy="952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17907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2BBDF1" id="Straight Connector 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7.95pt" to="194.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" strokecolor="windowText" strokeweight=".5pt">
                <v:stroke joinstyle="miter"/>
              </v:line>
            </w:pict>
          </mc:Fallback>
        </mc:AlternateContent>
      </w:r>
      <w:r w:rsidRPr="005F0955">
        <w:rPr>
          <w:rFonts w:ascii="Times New Roman" w:hAnsi="Times New Roman" w:cs="Times New Roman"/>
          <w:noProof/>
          <w:sz w:val="24"/>
          <w:szCs w:val="24"/>
        </w:rPr>
        <w:t>Return on Equity = Net income</w:t>
      </w:r>
    </w:p>
    <w:p w14:paraId="7933D15E" w14:textId="77777777" w:rsidR="00083387" w:rsidRPr="005F0955" w:rsidRDefault="00083387" w:rsidP="005F0955">
      <w:pPr>
        <w:spacing w:line="480" w:lineRule="auto"/>
        <w:ind w:left="720" w:firstLine="720"/>
        <w:rPr>
          <w:rFonts w:ascii="Times New Roman" w:hAnsi="Times New Roman" w:cs="Times New Roman"/>
          <w:noProof/>
          <w:sz w:val="24"/>
          <w:szCs w:val="24"/>
        </w:rPr>
      </w:pPr>
      <w:r w:rsidRPr="005F0955">
        <w:rPr>
          <w:rFonts w:ascii="Times New Roman" w:hAnsi="Times New Roman" w:cs="Times New Roman"/>
          <w:noProof/>
          <w:sz w:val="24"/>
          <w:szCs w:val="24"/>
        </w:rPr>
        <w:t>Shareholders’ fund</w:t>
      </w:r>
    </w:p>
    <w:p w14:paraId="53F3F710" w14:textId="77777777" w:rsidR="00083387" w:rsidRPr="005F0955" w:rsidRDefault="00083387"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C1CEF15" wp14:editId="6D0CBD69">
                <wp:simplePos x="0" y="0"/>
                <wp:positionH relativeFrom="column">
                  <wp:posOffset>676275</wp:posOffset>
                </wp:positionH>
                <wp:positionV relativeFrom="paragraph">
                  <wp:posOffset>228600</wp:posOffset>
                </wp:positionV>
                <wp:extent cx="1762125" cy="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E9A6FC"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8pt" to="19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" strokecolor="windowText" strokeweight=".5pt">
                <v:stroke joinstyle="miter"/>
              </v:line>
            </w:pict>
          </mc:Fallback>
        </mc:AlternateContent>
      </w:r>
      <w:r w:rsidRPr="005F0955">
        <w:rPr>
          <w:rFonts w:ascii="Times New Roman" w:hAnsi="Times New Roman" w:cs="Times New Roman"/>
          <w:noProof/>
          <w:sz w:val="24"/>
          <w:szCs w:val="24"/>
        </w:rPr>
        <w:t xml:space="preserve">Return on Equity = </w:t>
      </w:r>
      <w:r w:rsidRPr="005F0955">
        <w:rPr>
          <w:rFonts w:ascii="Times New Roman" w:hAnsi="Times New Roman" w:cs="Times New Roman"/>
          <w:noProof/>
          <w:sz w:val="24"/>
          <w:szCs w:val="24"/>
        </w:rPr>
        <w:tab/>
        <w:t>$18,000</w:t>
      </w:r>
      <w:r w:rsidRPr="005F0955">
        <w:rPr>
          <w:rFonts w:ascii="Times New Roman" w:hAnsi="Times New Roman" w:cs="Times New Roman"/>
          <w:noProof/>
          <w:sz w:val="24"/>
          <w:szCs w:val="24"/>
        </w:rPr>
        <w:tab/>
      </w:r>
      <w:r w:rsidRPr="005F0955">
        <w:rPr>
          <w:rFonts w:ascii="Times New Roman" w:hAnsi="Times New Roman" w:cs="Times New Roman"/>
          <w:noProof/>
          <w:sz w:val="24"/>
          <w:szCs w:val="24"/>
        </w:rPr>
        <w:tab/>
      </w:r>
      <w:r w:rsidRPr="005F0955">
        <w:rPr>
          <w:rFonts w:ascii="Times New Roman" w:hAnsi="Times New Roman" w:cs="Times New Roman"/>
          <w:noProof/>
          <w:sz w:val="24"/>
          <w:szCs w:val="24"/>
        </w:rPr>
        <w:tab/>
        <w:t>= 1.5 or 150%</w:t>
      </w:r>
    </w:p>
    <w:p w14:paraId="5159FAA7" w14:textId="77777777" w:rsidR="00083387" w:rsidRPr="005F0955" w:rsidRDefault="00083387" w:rsidP="005F0955">
      <w:pPr>
        <w:spacing w:line="480" w:lineRule="auto"/>
        <w:ind w:left="1440" w:firstLine="720"/>
        <w:rPr>
          <w:rFonts w:ascii="Times New Roman" w:hAnsi="Times New Roman" w:cs="Times New Roman"/>
          <w:noProof/>
          <w:sz w:val="24"/>
          <w:szCs w:val="24"/>
        </w:rPr>
      </w:pPr>
      <w:r w:rsidRPr="005F0955">
        <w:rPr>
          <w:rFonts w:ascii="Times New Roman" w:hAnsi="Times New Roman" w:cs="Times New Roman"/>
          <w:noProof/>
          <w:sz w:val="24"/>
          <w:szCs w:val="24"/>
        </w:rPr>
        <w:t>$12,000</w:t>
      </w:r>
    </w:p>
    <w:p w14:paraId="03F1AA58" w14:textId="77777777" w:rsidR="00083387" w:rsidRPr="005F0955" w:rsidRDefault="00083387" w:rsidP="007D5515">
      <w:pPr>
        <w:spacing w:line="480" w:lineRule="auto"/>
        <w:ind w:firstLine="720"/>
        <w:rPr>
          <w:rFonts w:ascii="Times New Roman" w:hAnsi="Times New Roman" w:cs="Times New Roman"/>
          <w:noProof/>
          <w:sz w:val="24"/>
          <w:szCs w:val="24"/>
        </w:rPr>
      </w:pPr>
      <w:r w:rsidRPr="005F0955">
        <w:rPr>
          <w:rFonts w:ascii="Times New Roman" w:hAnsi="Times New Roman" w:cs="Times New Roman"/>
          <w:noProof/>
          <w:sz w:val="24"/>
          <w:szCs w:val="24"/>
        </w:rPr>
        <w:t>Roe of Carolyn clinic is 1.5, this implies that every dollar of common shareholders equity generates $1.5 dollars in the period</w:t>
      </w:r>
      <w:r w:rsidR="007618C7" w:rsidRPr="005F0955">
        <w:rPr>
          <w:rFonts w:ascii="Times New Roman" w:hAnsi="Times New Roman" w:cs="Times New Roman"/>
          <w:noProof/>
          <w:sz w:val="24"/>
          <w:szCs w:val="24"/>
        </w:rPr>
        <w:t>. shareholders experienced 150% return on their investment.</w:t>
      </w:r>
    </w:p>
    <w:p w14:paraId="6920A4FE" w14:textId="77777777" w:rsidR="007618C7" w:rsidRPr="005F0955" w:rsidRDefault="005309F5"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Leverage capital structure ratios</w:t>
      </w:r>
    </w:p>
    <w:p w14:paraId="246698DD" w14:textId="77777777" w:rsidR="005309F5" w:rsidRPr="005F0955" w:rsidRDefault="005309F5"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Debt ratio</w:t>
      </w:r>
    </w:p>
    <w:p w14:paraId="0F03220A" w14:textId="77777777" w:rsidR="005309F5" w:rsidRPr="005F0955" w:rsidRDefault="005309F5" w:rsidP="007D5515">
      <w:pPr>
        <w:spacing w:line="480" w:lineRule="auto"/>
        <w:ind w:firstLine="720"/>
        <w:rPr>
          <w:rFonts w:ascii="Times New Roman" w:hAnsi="Times New Roman" w:cs="Times New Roman"/>
          <w:noProof/>
          <w:sz w:val="24"/>
          <w:szCs w:val="24"/>
        </w:rPr>
      </w:pPr>
      <w:r w:rsidRPr="005F0955">
        <w:rPr>
          <w:rFonts w:ascii="Times New Roman" w:hAnsi="Times New Roman" w:cs="Times New Roman"/>
          <w:noProof/>
          <w:sz w:val="24"/>
          <w:szCs w:val="24"/>
        </w:rPr>
        <w:t>Debt ratio is a solvency ratio measuring a company’s total liabilities as a percentage of its total assets. The ratio shows the ability of a company to pay off its total liabilities with its assets</w:t>
      </w:r>
      <w:r w:rsidR="009B5FA4" w:rsidRPr="005F0955">
        <w:rPr>
          <w:rFonts w:ascii="Times New Roman" w:hAnsi="Times New Roman" w:cs="Times New Roman"/>
          <w:noProof/>
          <w:sz w:val="24"/>
          <w:szCs w:val="24"/>
        </w:rPr>
        <w:t xml:space="preserve">, that is, the required number of assets that the company need to sell in order to pay all of its debts. Debt ratio measures the company financial leverage. A company with a greater level of liabilities as compared to its assets are considered to be highly geared and and more risky for investors. </w:t>
      </w:r>
    </w:p>
    <w:p w14:paraId="063DA59D" w14:textId="77777777" w:rsidR="009B5FA4" w:rsidRPr="005F0955" w:rsidRDefault="009B5FA4"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Debt ratio helps investors and and creditors to analys the company overall debt burden on company as well as the ability of the company to pay off the debt in f</w:t>
      </w:r>
      <w:r w:rsidR="00FB3328" w:rsidRPr="005F0955">
        <w:rPr>
          <w:rFonts w:ascii="Times New Roman" w:hAnsi="Times New Roman" w:cs="Times New Roman"/>
          <w:noProof/>
          <w:sz w:val="24"/>
          <w:szCs w:val="24"/>
        </w:rPr>
        <w:t>uture. Debt ratio is calculated by dividing the total liabilities by total assets</w:t>
      </w:r>
      <w:sdt>
        <w:sdtPr>
          <w:rPr>
            <w:rFonts w:ascii="Times New Roman" w:hAnsi="Times New Roman" w:cs="Times New Roman"/>
            <w:noProof/>
            <w:sz w:val="24"/>
            <w:szCs w:val="24"/>
          </w:rPr>
          <w:id w:val="804429768"/>
          <w:citation/>
        </w:sdtPr>
        <w:sdtEndPr/>
        <w:sdtContent>
          <w:r w:rsidR="005F0955" w:rsidRPr="005F0955">
            <w:rPr>
              <w:rFonts w:ascii="Times New Roman" w:hAnsi="Times New Roman" w:cs="Times New Roman"/>
              <w:noProof/>
              <w:sz w:val="24"/>
              <w:szCs w:val="24"/>
            </w:rPr>
            <w:fldChar w:fldCharType="begin"/>
          </w:r>
          <w:r w:rsidR="005F0955" w:rsidRPr="005F0955">
            <w:rPr>
              <w:rFonts w:ascii="Times New Roman" w:hAnsi="Times New Roman" w:cs="Times New Roman"/>
              <w:noProof/>
              <w:sz w:val="24"/>
              <w:szCs w:val="24"/>
            </w:rPr>
            <w:instrText xml:space="preserve"> CITATION Inn13 \l 1033 </w:instrText>
          </w:r>
          <w:r w:rsidR="005F0955" w:rsidRPr="005F0955">
            <w:rPr>
              <w:rFonts w:ascii="Times New Roman" w:hAnsi="Times New Roman" w:cs="Times New Roman"/>
              <w:noProof/>
              <w:sz w:val="24"/>
              <w:szCs w:val="24"/>
            </w:rPr>
            <w:fldChar w:fldCharType="separate"/>
          </w:r>
          <w:r w:rsidR="005F0955" w:rsidRPr="005F0955">
            <w:rPr>
              <w:rFonts w:ascii="Times New Roman" w:hAnsi="Times New Roman" w:cs="Times New Roman"/>
              <w:noProof/>
              <w:sz w:val="24"/>
              <w:szCs w:val="24"/>
            </w:rPr>
            <w:t xml:space="preserve"> (Innocent, 2013)</w:t>
          </w:r>
          <w:r w:rsidR="005F0955" w:rsidRPr="005F0955">
            <w:rPr>
              <w:rFonts w:ascii="Times New Roman" w:hAnsi="Times New Roman" w:cs="Times New Roman"/>
              <w:noProof/>
              <w:sz w:val="24"/>
              <w:szCs w:val="24"/>
            </w:rPr>
            <w:fldChar w:fldCharType="end"/>
          </w:r>
        </w:sdtContent>
      </w:sdt>
      <w:r w:rsidR="00FB3328" w:rsidRPr="005F0955">
        <w:rPr>
          <w:rFonts w:ascii="Times New Roman" w:hAnsi="Times New Roman" w:cs="Times New Roman"/>
          <w:noProof/>
          <w:sz w:val="24"/>
          <w:szCs w:val="24"/>
        </w:rPr>
        <w:t>. A lowere debt ratio  is more</w:t>
      </w:r>
      <w:r w:rsidR="00E734E2" w:rsidRPr="005F0955">
        <w:rPr>
          <w:rFonts w:ascii="Times New Roman" w:hAnsi="Times New Roman" w:cs="Times New Roman"/>
          <w:noProof/>
          <w:sz w:val="24"/>
          <w:szCs w:val="24"/>
        </w:rPr>
        <w:t xml:space="preserve"> favorable than a higher ratio, this is usual even  with other solvency ratios. </w:t>
      </w:r>
    </w:p>
    <w:p w14:paraId="0607328F" w14:textId="77777777" w:rsidR="00D608CB" w:rsidRPr="005F0955" w:rsidRDefault="003B4CFA" w:rsidP="007D5515">
      <w:pPr>
        <w:spacing w:line="480" w:lineRule="auto"/>
        <w:ind w:firstLine="720"/>
        <w:rPr>
          <w:rFonts w:ascii="Times New Roman" w:hAnsi="Times New Roman" w:cs="Times New Roman"/>
          <w:noProof/>
          <w:sz w:val="24"/>
          <w:szCs w:val="24"/>
        </w:rPr>
      </w:pPr>
      <w:r w:rsidRPr="005F0955">
        <w:rPr>
          <w:rFonts w:ascii="Times New Roman" w:hAnsi="Times New Roman" w:cs="Times New Roman"/>
          <w:noProof/>
          <w:sz w:val="24"/>
          <w:szCs w:val="24"/>
        </w:rPr>
        <w:t xml:space="preserve">A lower debt ratio indicates a a higher stable business with a longetivity potential since a firm with lowere ratio also has lower overal debt. a reasonable benchmark of debt ratio for almost all companies is 0.5. </w:t>
      </w:r>
      <w:r w:rsidR="00D608CB" w:rsidRPr="005F0955">
        <w:rPr>
          <w:rFonts w:ascii="Times New Roman" w:hAnsi="Times New Roman" w:cs="Times New Roman"/>
          <w:noProof/>
          <w:sz w:val="24"/>
          <w:szCs w:val="24"/>
        </w:rPr>
        <w:t>T</w:t>
      </w:r>
      <w:r w:rsidRPr="005F0955">
        <w:rPr>
          <w:rFonts w:ascii="Times New Roman" w:hAnsi="Times New Roman" w:cs="Times New Roman"/>
          <w:noProof/>
          <w:sz w:val="24"/>
          <w:szCs w:val="24"/>
        </w:rPr>
        <w:t>his ratio is considered to be less risky</w:t>
      </w:r>
      <w:r w:rsidR="00D608CB" w:rsidRPr="005F0955">
        <w:rPr>
          <w:rFonts w:ascii="Times New Roman" w:hAnsi="Times New Roman" w:cs="Times New Roman"/>
          <w:noProof/>
          <w:sz w:val="24"/>
          <w:szCs w:val="24"/>
        </w:rPr>
        <w:t xml:space="preserve"> because it means that the </w:t>
      </w:r>
      <w:r w:rsidR="00D608CB" w:rsidRPr="005F0955">
        <w:rPr>
          <w:rFonts w:ascii="Times New Roman" w:hAnsi="Times New Roman" w:cs="Times New Roman"/>
          <w:noProof/>
          <w:sz w:val="24"/>
          <w:szCs w:val="24"/>
        </w:rPr>
        <w:lastRenderedPageBreak/>
        <w:t xml:space="preserve">company is having twice as much assets as liabilities or its liabilities are only 50% of its total assets . therefore, its creditors owns half of its assets and the remaining balance owned byits shareholders. </w:t>
      </w:r>
    </w:p>
    <w:p w14:paraId="5D2B461B" w14:textId="77777777" w:rsidR="003B4CFA" w:rsidRPr="005F0955" w:rsidRDefault="00D608CB" w:rsidP="007D5515">
      <w:pPr>
        <w:spacing w:line="480" w:lineRule="auto"/>
        <w:ind w:firstLine="720"/>
        <w:rPr>
          <w:rFonts w:ascii="Times New Roman" w:hAnsi="Times New Roman" w:cs="Times New Roman"/>
          <w:noProof/>
          <w:sz w:val="24"/>
          <w:szCs w:val="24"/>
        </w:rPr>
      </w:pPr>
      <w:r w:rsidRPr="005F0955">
        <w:rPr>
          <w:rFonts w:ascii="Times New Roman" w:hAnsi="Times New Roman" w:cs="Times New Roman"/>
          <w:noProof/>
          <w:sz w:val="24"/>
          <w:szCs w:val="24"/>
        </w:rPr>
        <w:t xml:space="preserve">A ratio of 1 implies that total company assets equals its total liabilities. This means that the company will have to sell all of its assets in order to pay off its creditors. The ratio is mostly used by creditors </w:t>
      </w:r>
      <w:r w:rsidR="00E03F99" w:rsidRPr="005F0955">
        <w:rPr>
          <w:rFonts w:ascii="Times New Roman" w:hAnsi="Times New Roman" w:cs="Times New Roman"/>
          <w:noProof/>
          <w:sz w:val="24"/>
          <w:szCs w:val="24"/>
        </w:rPr>
        <w:t>because tthey are always concerned about being payed</w:t>
      </w:r>
      <w:sdt>
        <w:sdtPr>
          <w:rPr>
            <w:rFonts w:ascii="Times New Roman" w:hAnsi="Times New Roman" w:cs="Times New Roman"/>
            <w:noProof/>
            <w:sz w:val="24"/>
            <w:szCs w:val="24"/>
          </w:rPr>
          <w:id w:val="1788540736"/>
          <w:citation/>
        </w:sdtPr>
        <w:sdtEndPr/>
        <w:sdtContent>
          <w:r w:rsidR="005F0955" w:rsidRPr="005F0955">
            <w:rPr>
              <w:rFonts w:ascii="Times New Roman" w:hAnsi="Times New Roman" w:cs="Times New Roman"/>
              <w:noProof/>
              <w:sz w:val="24"/>
              <w:szCs w:val="24"/>
            </w:rPr>
            <w:fldChar w:fldCharType="begin"/>
          </w:r>
          <w:r w:rsidR="005F0955" w:rsidRPr="005F0955">
            <w:rPr>
              <w:rFonts w:ascii="Times New Roman" w:hAnsi="Times New Roman" w:cs="Times New Roman"/>
              <w:noProof/>
              <w:sz w:val="24"/>
              <w:szCs w:val="24"/>
            </w:rPr>
            <w:instrText xml:space="preserve"> CITATION Del134 \l 1033 </w:instrText>
          </w:r>
          <w:r w:rsidR="005F0955" w:rsidRPr="005F0955">
            <w:rPr>
              <w:rFonts w:ascii="Times New Roman" w:hAnsi="Times New Roman" w:cs="Times New Roman"/>
              <w:noProof/>
              <w:sz w:val="24"/>
              <w:szCs w:val="24"/>
            </w:rPr>
            <w:fldChar w:fldCharType="separate"/>
          </w:r>
          <w:r w:rsidR="005F0955" w:rsidRPr="005F0955">
            <w:rPr>
              <w:rFonts w:ascii="Times New Roman" w:hAnsi="Times New Roman" w:cs="Times New Roman"/>
              <w:noProof/>
              <w:sz w:val="24"/>
              <w:szCs w:val="24"/>
            </w:rPr>
            <w:t xml:space="preserve"> (Delen, 2013)</w:t>
          </w:r>
          <w:r w:rsidR="005F0955" w:rsidRPr="005F0955">
            <w:rPr>
              <w:rFonts w:ascii="Times New Roman" w:hAnsi="Times New Roman" w:cs="Times New Roman"/>
              <w:noProof/>
              <w:sz w:val="24"/>
              <w:szCs w:val="24"/>
            </w:rPr>
            <w:fldChar w:fldCharType="end"/>
          </w:r>
        </w:sdtContent>
      </w:sdt>
      <w:r w:rsidR="00E03F99" w:rsidRPr="005F0955">
        <w:rPr>
          <w:rFonts w:ascii="Times New Roman" w:hAnsi="Times New Roman" w:cs="Times New Roman"/>
          <w:noProof/>
          <w:sz w:val="24"/>
          <w:szCs w:val="24"/>
        </w:rPr>
        <w:t xml:space="preserve">. A company that borrows money more frequently increases its debt ratio and creditors may nolonger be willing to loan it. Formular for culculating debt ratio is: </w:t>
      </w:r>
    </w:p>
    <w:p w14:paraId="602D4F73" w14:textId="77777777" w:rsidR="00E03F99" w:rsidRPr="005F0955" w:rsidRDefault="00E03F99"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CCB5B9C" wp14:editId="408629E4">
                <wp:simplePos x="0" y="0"/>
                <wp:positionH relativeFrom="column">
                  <wp:posOffset>676275</wp:posOffset>
                </wp:positionH>
                <wp:positionV relativeFrom="paragraph">
                  <wp:posOffset>227965</wp:posOffset>
                </wp:positionV>
                <wp:extent cx="17907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17907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289AEF" id="Straight Connector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7.95pt" to="194.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" strokecolor="windowText" strokeweight=".5pt">
                <v:stroke joinstyle="miter"/>
              </v:line>
            </w:pict>
          </mc:Fallback>
        </mc:AlternateContent>
      </w:r>
      <w:r w:rsidRPr="005F0955">
        <w:rPr>
          <w:rFonts w:ascii="Times New Roman" w:hAnsi="Times New Roman" w:cs="Times New Roman"/>
          <w:noProof/>
          <w:sz w:val="24"/>
          <w:szCs w:val="24"/>
        </w:rPr>
        <w:t xml:space="preserve">Debt ratio = </w:t>
      </w:r>
      <w:r w:rsidRPr="005F0955">
        <w:rPr>
          <w:rFonts w:ascii="Times New Roman" w:hAnsi="Times New Roman" w:cs="Times New Roman"/>
          <w:noProof/>
          <w:sz w:val="24"/>
          <w:szCs w:val="24"/>
        </w:rPr>
        <w:tab/>
        <w:t xml:space="preserve">Total liabilities </w:t>
      </w:r>
    </w:p>
    <w:p w14:paraId="454DE038" w14:textId="77777777" w:rsidR="00E03F99" w:rsidRPr="005F0955" w:rsidRDefault="00E03F99" w:rsidP="005F0955">
      <w:pPr>
        <w:spacing w:line="480" w:lineRule="auto"/>
        <w:ind w:left="720" w:firstLine="720"/>
        <w:rPr>
          <w:rFonts w:ascii="Times New Roman" w:hAnsi="Times New Roman" w:cs="Times New Roman"/>
          <w:noProof/>
          <w:sz w:val="24"/>
          <w:szCs w:val="24"/>
        </w:rPr>
      </w:pPr>
      <w:r w:rsidRPr="005F0955">
        <w:rPr>
          <w:rFonts w:ascii="Times New Roman" w:hAnsi="Times New Roman" w:cs="Times New Roman"/>
          <w:noProof/>
          <w:sz w:val="24"/>
          <w:szCs w:val="24"/>
        </w:rPr>
        <w:t xml:space="preserve">Total assets </w:t>
      </w:r>
    </w:p>
    <w:p w14:paraId="579F9E55" w14:textId="77777777" w:rsidR="00E03F99" w:rsidRPr="005F0955" w:rsidRDefault="00E03F99"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Example</w:t>
      </w:r>
    </w:p>
    <w:p w14:paraId="218A027D" w14:textId="77777777" w:rsidR="00E03F99" w:rsidRPr="005F0955" w:rsidRDefault="00E03F99"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Carolyn clinic center has presented the following data for the calculation of debt ratio</w:t>
      </w:r>
    </w:p>
    <w:p w14:paraId="468E468F" w14:textId="77777777" w:rsidR="00E03F99" w:rsidRPr="005F0955" w:rsidRDefault="00E03F99"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Total liabilities</w:t>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t>$12,000</w:t>
      </w:r>
    </w:p>
    <w:p w14:paraId="5B35AAEC" w14:textId="77777777" w:rsidR="00E03F99" w:rsidRPr="005F0955" w:rsidRDefault="00E03F99"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Total assets</w:t>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t>$48,000</w:t>
      </w:r>
    </w:p>
    <w:p w14:paraId="34EB0ACF" w14:textId="77777777" w:rsidR="00E03F99" w:rsidRPr="005F0955" w:rsidRDefault="00E03F99"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7601EED6" wp14:editId="43346DDF">
                <wp:simplePos x="0" y="0"/>
                <wp:positionH relativeFrom="column">
                  <wp:posOffset>676275</wp:posOffset>
                </wp:positionH>
                <wp:positionV relativeFrom="paragraph">
                  <wp:posOffset>227965</wp:posOffset>
                </wp:positionV>
                <wp:extent cx="1790700" cy="9525"/>
                <wp:effectExtent l="0" t="0" r="19050" b="28575"/>
                <wp:wrapNone/>
                <wp:docPr id="7" name="Straight Connector 7"/>
                <wp:cNvGraphicFramePr/>
                <a:graphic xmlns:a="http://schemas.openxmlformats.org/drawingml/2006/main">
                  <a:graphicData uri="http://schemas.microsoft.com/office/word/2010/wordprocessingShape">
                    <wps:wsp>
                      <wps:cNvCnPr/>
                      <wps:spPr>
                        <a:xfrm>
                          <a:off x="0" y="0"/>
                          <a:ext cx="17907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9E6B34" id="Straight Connector 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7.95pt" to="194.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" strokecolor="windowText" strokeweight=".5pt">
                <v:stroke joinstyle="miter"/>
              </v:line>
            </w:pict>
          </mc:Fallback>
        </mc:AlternateContent>
      </w:r>
      <w:r w:rsidRPr="005F0955">
        <w:rPr>
          <w:rFonts w:ascii="Times New Roman" w:hAnsi="Times New Roman" w:cs="Times New Roman"/>
          <w:noProof/>
          <w:sz w:val="24"/>
          <w:szCs w:val="24"/>
        </w:rPr>
        <w:t xml:space="preserve">Debt ratio = </w:t>
      </w:r>
      <w:r w:rsidRPr="005F0955">
        <w:rPr>
          <w:rFonts w:ascii="Times New Roman" w:hAnsi="Times New Roman" w:cs="Times New Roman"/>
          <w:noProof/>
          <w:sz w:val="24"/>
          <w:szCs w:val="24"/>
        </w:rPr>
        <w:tab/>
        <w:t>Total Liabilities</w:t>
      </w:r>
    </w:p>
    <w:p w14:paraId="380A7054" w14:textId="77777777" w:rsidR="00E03F99" w:rsidRPr="005F0955" w:rsidRDefault="00E03F99" w:rsidP="005F0955">
      <w:pPr>
        <w:spacing w:line="480" w:lineRule="auto"/>
        <w:ind w:left="720" w:firstLine="720"/>
        <w:rPr>
          <w:rFonts w:ascii="Times New Roman" w:hAnsi="Times New Roman" w:cs="Times New Roman"/>
          <w:noProof/>
          <w:sz w:val="24"/>
          <w:szCs w:val="24"/>
        </w:rPr>
      </w:pPr>
      <w:r w:rsidRPr="005F0955">
        <w:rPr>
          <w:rFonts w:ascii="Times New Roman" w:hAnsi="Times New Roman" w:cs="Times New Roman"/>
          <w:noProof/>
          <w:sz w:val="24"/>
          <w:szCs w:val="24"/>
        </w:rPr>
        <w:t>Total Assets</w:t>
      </w:r>
    </w:p>
    <w:p w14:paraId="03842B26" w14:textId="77777777" w:rsidR="00E03F99" w:rsidRPr="005F0955" w:rsidRDefault="00E03F99"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D67CDAA" wp14:editId="2249E1CE">
                <wp:simplePos x="0" y="0"/>
                <wp:positionH relativeFrom="column">
                  <wp:posOffset>676275</wp:posOffset>
                </wp:positionH>
                <wp:positionV relativeFrom="paragraph">
                  <wp:posOffset>228600</wp:posOffset>
                </wp:positionV>
                <wp:extent cx="17621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F72940" id="Straight Connector 8"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8pt" to="19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" strokecolor="windowText" strokeweight=".5pt">
                <v:stroke joinstyle="miter"/>
              </v:line>
            </w:pict>
          </mc:Fallback>
        </mc:AlternateContent>
      </w:r>
      <w:r w:rsidRPr="005F0955">
        <w:rPr>
          <w:rFonts w:ascii="Times New Roman" w:hAnsi="Times New Roman" w:cs="Times New Roman"/>
          <w:noProof/>
          <w:sz w:val="24"/>
          <w:szCs w:val="24"/>
        </w:rPr>
        <w:t xml:space="preserve">Debt ratio = </w:t>
      </w:r>
      <w:r w:rsidRPr="005F0955">
        <w:rPr>
          <w:rFonts w:ascii="Times New Roman" w:hAnsi="Times New Roman" w:cs="Times New Roman"/>
          <w:noProof/>
          <w:sz w:val="24"/>
          <w:szCs w:val="24"/>
        </w:rPr>
        <w:tab/>
        <w:t>$12,000</w:t>
      </w:r>
      <w:r w:rsidRPr="005F0955">
        <w:rPr>
          <w:rFonts w:ascii="Times New Roman" w:hAnsi="Times New Roman" w:cs="Times New Roman"/>
          <w:noProof/>
          <w:sz w:val="24"/>
          <w:szCs w:val="24"/>
        </w:rPr>
        <w:tab/>
      </w:r>
      <w:r w:rsidRPr="005F0955">
        <w:rPr>
          <w:rFonts w:ascii="Times New Roman" w:hAnsi="Times New Roman" w:cs="Times New Roman"/>
          <w:noProof/>
          <w:sz w:val="24"/>
          <w:szCs w:val="24"/>
        </w:rPr>
        <w:tab/>
      </w:r>
      <w:r w:rsidRPr="005F0955">
        <w:rPr>
          <w:rFonts w:ascii="Times New Roman" w:hAnsi="Times New Roman" w:cs="Times New Roman"/>
          <w:noProof/>
          <w:sz w:val="24"/>
          <w:szCs w:val="24"/>
        </w:rPr>
        <w:tab/>
        <w:t>= 0.25 or 25%</w:t>
      </w:r>
    </w:p>
    <w:p w14:paraId="0078021D" w14:textId="77777777" w:rsidR="00E03F99" w:rsidRPr="005F0955" w:rsidRDefault="00E03F99" w:rsidP="005F0955">
      <w:pPr>
        <w:spacing w:line="480" w:lineRule="auto"/>
        <w:ind w:left="720" w:firstLine="720"/>
        <w:rPr>
          <w:rFonts w:ascii="Times New Roman" w:hAnsi="Times New Roman" w:cs="Times New Roman"/>
          <w:noProof/>
          <w:sz w:val="24"/>
          <w:szCs w:val="24"/>
        </w:rPr>
      </w:pPr>
      <w:r w:rsidRPr="005F0955">
        <w:rPr>
          <w:rFonts w:ascii="Times New Roman" w:hAnsi="Times New Roman" w:cs="Times New Roman"/>
          <w:noProof/>
          <w:sz w:val="24"/>
          <w:szCs w:val="24"/>
        </w:rPr>
        <w:t>$48,000</w:t>
      </w:r>
    </w:p>
    <w:p w14:paraId="16F5B395" w14:textId="77777777" w:rsidR="00E03F99" w:rsidRPr="005F0955" w:rsidRDefault="00E03F99"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 xml:space="preserve">Debt ratio of Carolyn clinic is 0.25, this implies that it has 4 times as many assets as its liabilities. </w:t>
      </w:r>
      <w:r w:rsidR="0038505F" w:rsidRPr="005F0955">
        <w:rPr>
          <w:rFonts w:ascii="Times New Roman" w:hAnsi="Times New Roman" w:cs="Times New Roman"/>
          <w:noProof/>
          <w:sz w:val="24"/>
          <w:szCs w:val="24"/>
        </w:rPr>
        <w:t>The ratio is relatively low and shows that the firm is able to pay back its loan</w:t>
      </w:r>
      <w:r w:rsidR="0080362F" w:rsidRPr="005F0955">
        <w:rPr>
          <w:rFonts w:ascii="Times New Roman" w:hAnsi="Times New Roman" w:cs="Times New Roman"/>
          <w:noProof/>
          <w:sz w:val="24"/>
          <w:szCs w:val="24"/>
        </w:rPr>
        <w:t xml:space="preserve">. </w:t>
      </w:r>
    </w:p>
    <w:p w14:paraId="6AF71293" w14:textId="77777777" w:rsidR="0080362F" w:rsidRPr="005F0955" w:rsidRDefault="0080362F"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lastRenderedPageBreak/>
        <w:t>Non-financial ratios – Occupancy rate</w:t>
      </w:r>
    </w:p>
    <w:p w14:paraId="239086A1" w14:textId="77777777" w:rsidR="0080362F" w:rsidRPr="005F0955" w:rsidRDefault="0080362F"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 xml:space="preserve">This is the total patient days divide by number of days in a year, usually 365 days. Measures the volume based on the number of patients. </w:t>
      </w:r>
    </w:p>
    <w:p w14:paraId="7A899C09" w14:textId="77777777" w:rsidR="000D047A" w:rsidRPr="005F0955" w:rsidRDefault="000D047A"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 xml:space="preserve">                                                   </w:t>
      </w:r>
    </w:p>
    <w:p w14:paraId="0C340567" w14:textId="77777777" w:rsidR="000D047A" w:rsidRPr="005F0955" w:rsidRDefault="000D047A"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76856A9" wp14:editId="48D1350F">
                <wp:simplePos x="0" y="0"/>
                <wp:positionH relativeFrom="column">
                  <wp:posOffset>3362325</wp:posOffset>
                </wp:positionH>
                <wp:positionV relativeFrom="paragraph">
                  <wp:posOffset>247650</wp:posOffset>
                </wp:positionV>
                <wp:extent cx="1762125" cy="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4CF559" id="Straight Connector 1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75pt,19.5pt" to="40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" strokecolor="windowText" strokeweight=".5pt">
                <v:stroke joinstyle="miter"/>
              </v:line>
            </w:pict>
          </mc:Fallback>
        </mc:AlternateContent>
      </w:r>
      <w:r w:rsidRPr="005F095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CED6BF9" wp14:editId="5B53FC08">
                <wp:simplePos x="0" y="0"/>
                <wp:positionH relativeFrom="column">
                  <wp:posOffset>1200150</wp:posOffset>
                </wp:positionH>
                <wp:positionV relativeFrom="paragraph">
                  <wp:posOffset>266700</wp:posOffset>
                </wp:positionV>
                <wp:extent cx="17621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D863EE" id="Straight Connector 1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21pt" to="233.2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" strokecolor="windowText" strokeweight=".5pt">
                <v:stroke joinstyle="miter"/>
              </v:line>
            </w:pict>
          </mc:Fallback>
        </mc:AlternateContent>
      </w:r>
      <w:r w:rsidRPr="005F0955">
        <w:rPr>
          <w:rFonts w:ascii="Times New Roman" w:hAnsi="Times New Roman" w:cs="Times New Roman"/>
          <w:noProof/>
          <w:sz w:val="24"/>
          <w:szCs w:val="24"/>
        </w:rPr>
        <w:t>Occupancy rate  =        Total annual patient days  x 100  =    Average daily census x 100 .</w:t>
      </w:r>
    </w:p>
    <w:p w14:paraId="42BFE4E9" w14:textId="77777777" w:rsidR="000D047A" w:rsidRPr="005F0955" w:rsidRDefault="000D047A" w:rsidP="005F0955">
      <w:pPr>
        <w:spacing w:line="480" w:lineRule="auto"/>
        <w:ind w:left="2160"/>
        <w:rPr>
          <w:rFonts w:ascii="Times New Roman" w:hAnsi="Times New Roman" w:cs="Times New Roman"/>
          <w:noProof/>
          <w:sz w:val="24"/>
          <w:szCs w:val="24"/>
        </w:rPr>
      </w:pPr>
      <w:r w:rsidRPr="005F0955">
        <w:rPr>
          <w:rFonts w:ascii="Times New Roman" w:hAnsi="Times New Roman" w:cs="Times New Roman"/>
          <w:noProof/>
          <w:sz w:val="24"/>
          <w:szCs w:val="24"/>
        </w:rPr>
        <w:t xml:space="preserve">Number of beds x 365                         Number of beds   </w:t>
      </w:r>
    </w:p>
    <w:p w14:paraId="56BD83BA" w14:textId="77777777" w:rsidR="000D047A" w:rsidRPr="005F0955" w:rsidRDefault="000D047A"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Example</w:t>
      </w:r>
    </w:p>
    <w:p w14:paraId="3F73628B" w14:textId="77777777" w:rsidR="000D047A" w:rsidRPr="005F0955" w:rsidRDefault="000D047A"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Carolyn clinic center has presented the following data for the calculation of Ocupancy rate</w:t>
      </w:r>
    </w:p>
    <w:p w14:paraId="48983E85" w14:textId="77777777" w:rsidR="000D047A" w:rsidRPr="005F0955" w:rsidRDefault="000D047A"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Average daily census</w:t>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t>$20</w:t>
      </w:r>
    </w:p>
    <w:p w14:paraId="13A34DDC" w14:textId="77777777" w:rsidR="000D047A" w:rsidRPr="005F0955" w:rsidRDefault="000D047A"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Number of beds</w:t>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r>
      <w:r w:rsidRPr="005F0955">
        <w:rPr>
          <w:rFonts w:ascii="Times New Roman" w:hAnsi="Times New Roman" w:cs="Times New Roman"/>
          <w:sz w:val="24"/>
          <w:szCs w:val="24"/>
        </w:rPr>
        <w:tab/>
        <w:t>50</w:t>
      </w:r>
    </w:p>
    <w:p w14:paraId="7AEEA6B8" w14:textId="77777777" w:rsidR="000D047A" w:rsidRPr="005F0955" w:rsidRDefault="000D047A"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FF8B12C" wp14:editId="42B1BEE6">
                <wp:simplePos x="0" y="0"/>
                <wp:positionH relativeFrom="column">
                  <wp:posOffset>676275</wp:posOffset>
                </wp:positionH>
                <wp:positionV relativeFrom="paragraph">
                  <wp:posOffset>227965</wp:posOffset>
                </wp:positionV>
                <wp:extent cx="179070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a:off x="0" y="0"/>
                          <a:ext cx="17907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69975B" id="Straight Connector 12"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25pt,17.95pt" to="194.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" strokecolor="windowText" strokeweight=".5pt">
                <v:stroke joinstyle="miter"/>
              </v:line>
            </w:pict>
          </mc:Fallback>
        </mc:AlternateContent>
      </w:r>
      <w:r w:rsidRPr="005F0955">
        <w:rPr>
          <w:rFonts w:ascii="Times New Roman" w:hAnsi="Times New Roman" w:cs="Times New Roman"/>
          <w:noProof/>
          <w:sz w:val="24"/>
          <w:szCs w:val="24"/>
        </w:rPr>
        <w:t xml:space="preserve">Occupancy rate = </w:t>
      </w:r>
      <w:r w:rsidRPr="005F0955">
        <w:rPr>
          <w:rFonts w:ascii="Times New Roman" w:hAnsi="Times New Roman" w:cs="Times New Roman"/>
          <w:noProof/>
          <w:sz w:val="24"/>
          <w:szCs w:val="24"/>
        </w:rPr>
        <w:tab/>
        <w:t>20</w:t>
      </w:r>
      <w:r w:rsidRPr="005F0955">
        <w:rPr>
          <w:rFonts w:ascii="Times New Roman" w:hAnsi="Times New Roman" w:cs="Times New Roman"/>
          <w:noProof/>
          <w:sz w:val="24"/>
          <w:szCs w:val="24"/>
        </w:rPr>
        <w:tab/>
      </w:r>
      <w:r w:rsidRPr="005F0955">
        <w:rPr>
          <w:rFonts w:ascii="Times New Roman" w:hAnsi="Times New Roman" w:cs="Times New Roman"/>
          <w:noProof/>
          <w:sz w:val="24"/>
          <w:szCs w:val="24"/>
        </w:rPr>
        <w:tab/>
      </w:r>
      <w:r w:rsidRPr="005F0955">
        <w:rPr>
          <w:rFonts w:ascii="Times New Roman" w:hAnsi="Times New Roman" w:cs="Times New Roman"/>
          <w:noProof/>
          <w:sz w:val="24"/>
          <w:szCs w:val="24"/>
        </w:rPr>
        <w:tab/>
        <w:t>*100%</w:t>
      </w:r>
      <w:r w:rsidRPr="005F0955">
        <w:rPr>
          <w:rFonts w:ascii="Times New Roman" w:hAnsi="Times New Roman" w:cs="Times New Roman"/>
          <w:noProof/>
          <w:sz w:val="24"/>
          <w:szCs w:val="24"/>
        </w:rPr>
        <w:tab/>
        <w:t>=40%</w:t>
      </w:r>
    </w:p>
    <w:p w14:paraId="307ECAB8" w14:textId="77777777" w:rsidR="000D047A" w:rsidRPr="005F0955" w:rsidRDefault="000D047A" w:rsidP="005F0955">
      <w:pPr>
        <w:spacing w:line="480" w:lineRule="auto"/>
        <w:ind w:left="1440" w:firstLine="720"/>
        <w:rPr>
          <w:rFonts w:ascii="Times New Roman" w:hAnsi="Times New Roman" w:cs="Times New Roman"/>
          <w:noProof/>
          <w:sz w:val="24"/>
          <w:szCs w:val="24"/>
        </w:rPr>
      </w:pPr>
      <w:r w:rsidRPr="005F0955">
        <w:rPr>
          <w:rFonts w:ascii="Times New Roman" w:hAnsi="Times New Roman" w:cs="Times New Roman"/>
          <w:noProof/>
          <w:sz w:val="24"/>
          <w:szCs w:val="24"/>
        </w:rPr>
        <w:t>50</w:t>
      </w:r>
    </w:p>
    <w:p w14:paraId="0B33C1A6" w14:textId="77777777" w:rsidR="000D047A" w:rsidRPr="005F0955" w:rsidRDefault="000D047A" w:rsidP="005F0955">
      <w:pPr>
        <w:spacing w:line="480" w:lineRule="auto"/>
        <w:rPr>
          <w:rFonts w:ascii="Times New Roman" w:hAnsi="Times New Roman" w:cs="Times New Roman"/>
          <w:noProof/>
          <w:sz w:val="24"/>
          <w:szCs w:val="24"/>
        </w:rPr>
      </w:pPr>
      <w:r w:rsidRPr="005F0955">
        <w:rPr>
          <w:rFonts w:ascii="Times New Roman" w:hAnsi="Times New Roman" w:cs="Times New Roman"/>
          <w:noProof/>
          <w:sz w:val="24"/>
          <w:szCs w:val="24"/>
        </w:rPr>
        <w:t xml:space="preserve">Higher occupancy rate are fevorable. </w:t>
      </w:r>
    </w:p>
    <w:p w14:paraId="5B98B7BF" w14:textId="77777777" w:rsidR="0080362F" w:rsidRPr="005F0955" w:rsidRDefault="0080362F" w:rsidP="005F0955">
      <w:pPr>
        <w:spacing w:line="480" w:lineRule="auto"/>
        <w:rPr>
          <w:rFonts w:ascii="Times New Roman" w:hAnsi="Times New Roman" w:cs="Times New Roman"/>
          <w:noProof/>
          <w:sz w:val="24"/>
          <w:szCs w:val="24"/>
        </w:rPr>
      </w:pPr>
    </w:p>
    <w:p w14:paraId="0CCE0E4E" w14:textId="77777777" w:rsidR="005F0955" w:rsidRPr="005F0955" w:rsidRDefault="005F0955" w:rsidP="005F0955">
      <w:pPr>
        <w:spacing w:line="480" w:lineRule="auto"/>
        <w:rPr>
          <w:rFonts w:ascii="Times New Roman" w:hAnsi="Times New Roman" w:cs="Times New Roman"/>
          <w:noProof/>
          <w:sz w:val="24"/>
          <w:szCs w:val="24"/>
        </w:rPr>
      </w:pPr>
    </w:p>
    <w:p w14:paraId="580779BC" w14:textId="77777777" w:rsidR="005F0955" w:rsidRPr="005F0955" w:rsidRDefault="005F0955" w:rsidP="005F0955">
      <w:pPr>
        <w:spacing w:line="480" w:lineRule="auto"/>
        <w:rPr>
          <w:rFonts w:ascii="Times New Roman" w:hAnsi="Times New Roman" w:cs="Times New Roman"/>
          <w:noProof/>
          <w:sz w:val="24"/>
          <w:szCs w:val="24"/>
        </w:rPr>
      </w:pPr>
    </w:p>
    <w:p w14:paraId="31D6125D" w14:textId="77777777" w:rsidR="005F0955" w:rsidRPr="005F0955" w:rsidRDefault="005F0955" w:rsidP="005F0955">
      <w:pPr>
        <w:spacing w:line="480" w:lineRule="auto"/>
        <w:rPr>
          <w:rFonts w:ascii="Times New Roman" w:hAnsi="Times New Roman" w:cs="Times New Roman"/>
          <w:noProof/>
          <w:sz w:val="24"/>
          <w:szCs w:val="24"/>
        </w:rPr>
      </w:pPr>
    </w:p>
    <w:sdt>
      <w:sdtPr>
        <w:rPr>
          <w:rFonts w:ascii="Times New Roman" w:eastAsiaTheme="minorHAnsi" w:hAnsi="Times New Roman" w:cs="Times New Roman"/>
          <w:color w:val="auto"/>
          <w:sz w:val="24"/>
          <w:szCs w:val="24"/>
        </w:rPr>
        <w:id w:val="-1026866454"/>
        <w:docPartObj>
          <w:docPartGallery w:val="Bibliographies"/>
          <w:docPartUnique/>
        </w:docPartObj>
      </w:sdtPr>
      <w:sdtEndPr/>
      <w:sdtContent>
        <w:p w14:paraId="7C8B574B" w14:textId="77777777" w:rsidR="005F0955" w:rsidRPr="005F0955" w:rsidRDefault="005F0955" w:rsidP="005F0955">
          <w:pPr>
            <w:pStyle w:val="Heading1"/>
            <w:spacing w:line="480" w:lineRule="auto"/>
            <w:rPr>
              <w:rFonts w:ascii="Times New Roman" w:hAnsi="Times New Roman" w:cs="Times New Roman"/>
              <w:color w:val="auto"/>
              <w:sz w:val="24"/>
              <w:szCs w:val="24"/>
            </w:rPr>
          </w:pPr>
          <w:r w:rsidRPr="005F095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08A0CC77" w14:textId="77777777" w:rsidR="005F0955" w:rsidRPr="005F0955" w:rsidRDefault="005F0955" w:rsidP="005F0955">
              <w:pPr>
                <w:pStyle w:val="Bibliography"/>
                <w:spacing w:line="480" w:lineRule="auto"/>
                <w:ind w:left="720" w:hanging="720"/>
                <w:rPr>
                  <w:rFonts w:ascii="Times New Roman" w:hAnsi="Times New Roman" w:cs="Times New Roman"/>
                  <w:noProof/>
                  <w:sz w:val="24"/>
                  <w:szCs w:val="24"/>
                </w:rPr>
              </w:pPr>
              <w:r w:rsidRPr="005F0955">
                <w:rPr>
                  <w:rFonts w:ascii="Times New Roman" w:hAnsi="Times New Roman" w:cs="Times New Roman"/>
                  <w:sz w:val="24"/>
                  <w:szCs w:val="24"/>
                </w:rPr>
                <w:fldChar w:fldCharType="begin"/>
              </w:r>
              <w:r w:rsidRPr="005F0955">
                <w:rPr>
                  <w:rFonts w:ascii="Times New Roman" w:hAnsi="Times New Roman" w:cs="Times New Roman"/>
                  <w:sz w:val="24"/>
                  <w:szCs w:val="24"/>
                </w:rPr>
                <w:instrText xml:space="preserve"> BIBLIOGRAPHY </w:instrText>
              </w:r>
              <w:r w:rsidRPr="005F0955">
                <w:rPr>
                  <w:rFonts w:ascii="Times New Roman" w:hAnsi="Times New Roman" w:cs="Times New Roman"/>
                  <w:sz w:val="24"/>
                  <w:szCs w:val="24"/>
                </w:rPr>
                <w:fldChar w:fldCharType="separate"/>
              </w:r>
              <w:r w:rsidRPr="005F0955">
                <w:rPr>
                  <w:rFonts w:ascii="Times New Roman" w:hAnsi="Times New Roman" w:cs="Times New Roman"/>
                  <w:noProof/>
                  <w:sz w:val="24"/>
                  <w:szCs w:val="24"/>
                </w:rPr>
                <w:t xml:space="preserve">Delen, D. K. (2013). Measuring firm performance using financial ratios: , . </w:t>
              </w:r>
              <w:r w:rsidRPr="005F0955">
                <w:rPr>
                  <w:rFonts w:ascii="Times New Roman" w:hAnsi="Times New Roman" w:cs="Times New Roman"/>
                  <w:i/>
                  <w:iCs/>
                  <w:noProof/>
                  <w:sz w:val="24"/>
                  <w:szCs w:val="24"/>
                </w:rPr>
                <w:t>A decision tree approach. Expert Systems with Applications</w:t>
              </w:r>
              <w:r w:rsidRPr="005F0955">
                <w:rPr>
                  <w:rFonts w:ascii="Times New Roman" w:hAnsi="Times New Roman" w:cs="Times New Roman"/>
                  <w:noProof/>
                  <w:sz w:val="24"/>
                  <w:szCs w:val="24"/>
                </w:rPr>
                <w:t>, 40(10), 3970-3983.</w:t>
              </w:r>
            </w:p>
            <w:p w14:paraId="1BD09A38" w14:textId="77777777" w:rsidR="005F0955" w:rsidRPr="005F0955" w:rsidRDefault="005F0955" w:rsidP="005F0955">
              <w:pPr>
                <w:pStyle w:val="Bibliography"/>
                <w:spacing w:line="480" w:lineRule="auto"/>
                <w:ind w:left="720" w:hanging="720"/>
                <w:rPr>
                  <w:rFonts w:ascii="Times New Roman" w:hAnsi="Times New Roman" w:cs="Times New Roman"/>
                  <w:noProof/>
                  <w:sz w:val="24"/>
                  <w:szCs w:val="24"/>
                </w:rPr>
              </w:pPr>
              <w:r w:rsidRPr="005F0955">
                <w:rPr>
                  <w:rFonts w:ascii="Times New Roman" w:hAnsi="Times New Roman" w:cs="Times New Roman"/>
                  <w:noProof/>
                  <w:sz w:val="24"/>
                  <w:szCs w:val="24"/>
                </w:rPr>
                <w:t xml:space="preserve">Innocent, E. C. (2013). Financial ratio analysis as a determinant of profitability in Nigerian pharmaceutical industry. . </w:t>
              </w:r>
              <w:r w:rsidRPr="005F0955">
                <w:rPr>
                  <w:rFonts w:ascii="Times New Roman" w:hAnsi="Times New Roman" w:cs="Times New Roman"/>
                  <w:i/>
                  <w:iCs/>
                  <w:noProof/>
                  <w:sz w:val="24"/>
                  <w:szCs w:val="24"/>
                </w:rPr>
                <w:t>International journal of business and management,</w:t>
              </w:r>
              <w:r w:rsidRPr="005F0955">
                <w:rPr>
                  <w:rFonts w:ascii="Times New Roman" w:hAnsi="Times New Roman" w:cs="Times New Roman"/>
                  <w:noProof/>
                  <w:sz w:val="24"/>
                  <w:szCs w:val="24"/>
                </w:rPr>
                <w:t>, 8(8), 107.</w:t>
              </w:r>
            </w:p>
            <w:p w14:paraId="2CB91788" w14:textId="77777777" w:rsidR="005F0955" w:rsidRPr="005F0955" w:rsidRDefault="005F0955" w:rsidP="005F0955">
              <w:pPr>
                <w:pStyle w:val="Bibliography"/>
                <w:spacing w:line="480" w:lineRule="auto"/>
                <w:ind w:left="720" w:hanging="720"/>
                <w:rPr>
                  <w:rFonts w:ascii="Times New Roman" w:hAnsi="Times New Roman" w:cs="Times New Roman"/>
                  <w:noProof/>
                  <w:sz w:val="24"/>
                  <w:szCs w:val="24"/>
                </w:rPr>
              </w:pPr>
              <w:r w:rsidRPr="005F0955">
                <w:rPr>
                  <w:rFonts w:ascii="Times New Roman" w:hAnsi="Times New Roman" w:cs="Times New Roman"/>
                  <w:noProof/>
                  <w:sz w:val="24"/>
                  <w:szCs w:val="24"/>
                </w:rPr>
                <w:t xml:space="preserve">Kahneman, D. &amp;. (2013). Prospect theory: An analysis of decision under risk . </w:t>
              </w:r>
              <w:r w:rsidRPr="005F0955">
                <w:rPr>
                  <w:rFonts w:ascii="Times New Roman" w:hAnsi="Times New Roman" w:cs="Times New Roman"/>
                  <w:i/>
                  <w:iCs/>
                  <w:noProof/>
                  <w:sz w:val="24"/>
                  <w:szCs w:val="24"/>
                </w:rPr>
                <w:t>In Handbook of the fundamentals of financial decision making:</w:t>
              </w:r>
              <w:r w:rsidRPr="005F0955">
                <w:rPr>
                  <w:rFonts w:ascii="Times New Roman" w:hAnsi="Times New Roman" w:cs="Times New Roman"/>
                  <w:noProof/>
                  <w:sz w:val="24"/>
                  <w:szCs w:val="24"/>
                </w:rPr>
                <w:t>, Part I (pp. 99-127).</w:t>
              </w:r>
            </w:p>
            <w:p w14:paraId="53C8974B" w14:textId="77777777" w:rsidR="005F0955" w:rsidRPr="005F0955" w:rsidRDefault="005F0955" w:rsidP="005F0955">
              <w:pPr>
                <w:spacing w:line="480" w:lineRule="auto"/>
                <w:rPr>
                  <w:rFonts w:ascii="Times New Roman" w:hAnsi="Times New Roman" w:cs="Times New Roman"/>
                  <w:sz w:val="24"/>
                  <w:szCs w:val="24"/>
                </w:rPr>
              </w:pPr>
              <w:r w:rsidRPr="005F0955">
                <w:rPr>
                  <w:rFonts w:ascii="Times New Roman" w:hAnsi="Times New Roman" w:cs="Times New Roman"/>
                  <w:b/>
                  <w:bCs/>
                  <w:noProof/>
                  <w:sz w:val="24"/>
                  <w:szCs w:val="24"/>
                </w:rPr>
                <w:fldChar w:fldCharType="end"/>
              </w:r>
            </w:p>
          </w:sdtContent>
        </w:sdt>
      </w:sdtContent>
    </w:sdt>
    <w:p w14:paraId="5160FEBF" w14:textId="77777777" w:rsidR="005F0955" w:rsidRPr="005F0955" w:rsidRDefault="005F0955" w:rsidP="005F0955">
      <w:pPr>
        <w:spacing w:line="480" w:lineRule="auto"/>
        <w:rPr>
          <w:rFonts w:ascii="Times New Roman" w:hAnsi="Times New Roman" w:cs="Times New Roman"/>
          <w:noProof/>
          <w:sz w:val="24"/>
          <w:szCs w:val="24"/>
        </w:rPr>
      </w:pPr>
    </w:p>
    <w:p w14:paraId="1119D1D0" w14:textId="77777777" w:rsidR="0080362F" w:rsidRPr="005F0955" w:rsidRDefault="0080362F" w:rsidP="005F0955">
      <w:pPr>
        <w:spacing w:line="480" w:lineRule="auto"/>
        <w:rPr>
          <w:rFonts w:ascii="Times New Roman" w:hAnsi="Times New Roman" w:cs="Times New Roman"/>
          <w:noProof/>
          <w:sz w:val="24"/>
          <w:szCs w:val="24"/>
        </w:rPr>
      </w:pPr>
    </w:p>
    <w:p w14:paraId="2692C5AC" w14:textId="77777777" w:rsidR="0080362F" w:rsidRPr="005F0955" w:rsidRDefault="0080362F" w:rsidP="005F0955">
      <w:pPr>
        <w:spacing w:line="480" w:lineRule="auto"/>
        <w:rPr>
          <w:rFonts w:ascii="Times New Roman" w:hAnsi="Times New Roman" w:cs="Times New Roman"/>
          <w:noProof/>
          <w:sz w:val="24"/>
          <w:szCs w:val="24"/>
        </w:rPr>
      </w:pPr>
    </w:p>
    <w:p w14:paraId="67B6184C" w14:textId="77777777" w:rsidR="00E03F99" w:rsidRPr="005F0955" w:rsidRDefault="00E03F99" w:rsidP="005F0955">
      <w:pPr>
        <w:spacing w:line="480" w:lineRule="auto"/>
        <w:rPr>
          <w:rFonts w:ascii="Times New Roman" w:hAnsi="Times New Roman" w:cs="Times New Roman"/>
          <w:noProof/>
          <w:sz w:val="24"/>
          <w:szCs w:val="24"/>
        </w:rPr>
      </w:pPr>
    </w:p>
    <w:p w14:paraId="4FCEFA05" w14:textId="77777777" w:rsidR="003665ED" w:rsidRPr="005F0955" w:rsidRDefault="003665ED" w:rsidP="005F0955">
      <w:pPr>
        <w:spacing w:line="480" w:lineRule="auto"/>
        <w:rPr>
          <w:rFonts w:ascii="Times New Roman" w:hAnsi="Times New Roman" w:cs="Times New Roman"/>
          <w:sz w:val="24"/>
          <w:szCs w:val="24"/>
        </w:rPr>
      </w:pPr>
    </w:p>
    <w:p w14:paraId="525A668F" w14:textId="77777777" w:rsidR="00BF76C1" w:rsidRPr="005F0955" w:rsidRDefault="00BF76C1" w:rsidP="005F0955">
      <w:pPr>
        <w:spacing w:line="480" w:lineRule="auto"/>
        <w:rPr>
          <w:rFonts w:ascii="Times New Roman" w:hAnsi="Times New Roman" w:cs="Times New Roman"/>
          <w:sz w:val="24"/>
          <w:szCs w:val="24"/>
        </w:rPr>
      </w:pPr>
    </w:p>
    <w:p w14:paraId="711D667F" w14:textId="77777777" w:rsidR="00F43169" w:rsidRPr="005F0955" w:rsidRDefault="00F43169" w:rsidP="005F0955">
      <w:pPr>
        <w:spacing w:line="480" w:lineRule="auto"/>
        <w:rPr>
          <w:rFonts w:ascii="Times New Roman" w:hAnsi="Times New Roman" w:cs="Times New Roman"/>
          <w:sz w:val="24"/>
          <w:szCs w:val="24"/>
        </w:rPr>
      </w:pPr>
    </w:p>
    <w:p w14:paraId="0FF1FB38" w14:textId="77777777" w:rsidR="00831868" w:rsidRPr="005F0955" w:rsidRDefault="00831868" w:rsidP="005F0955">
      <w:pPr>
        <w:spacing w:line="480" w:lineRule="auto"/>
        <w:rPr>
          <w:rFonts w:ascii="Times New Roman" w:hAnsi="Times New Roman" w:cs="Times New Roman"/>
          <w:sz w:val="24"/>
          <w:szCs w:val="24"/>
        </w:rPr>
      </w:pPr>
    </w:p>
    <w:p w14:paraId="513F482B" w14:textId="77777777" w:rsidR="00CF7C7F" w:rsidRPr="005F0955" w:rsidRDefault="00CF7C7F" w:rsidP="005F0955">
      <w:pPr>
        <w:spacing w:line="480" w:lineRule="auto"/>
        <w:rPr>
          <w:rFonts w:ascii="Times New Roman" w:hAnsi="Times New Roman" w:cs="Times New Roman"/>
          <w:sz w:val="24"/>
          <w:szCs w:val="24"/>
        </w:rPr>
      </w:pPr>
      <w:r w:rsidRPr="005F0955">
        <w:rPr>
          <w:rFonts w:ascii="Times New Roman" w:hAnsi="Times New Roman" w:cs="Times New Roman"/>
          <w:sz w:val="24"/>
          <w:szCs w:val="24"/>
        </w:rPr>
        <w:t xml:space="preserve"> </w:t>
      </w:r>
    </w:p>
    <w:p w14:paraId="03C075A3" w14:textId="77777777" w:rsidR="0098671D" w:rsidRPr="005F0955" w:rsidRDefault="0098671D" w:rsidP="005F0955">
      <w:pPr>
        <w:spacing w:line="480" w:lineRule="auto"/>
        <w:rPr>
          <w:rFonts w:ascii="Times New Roman" w:hAnsi="Times New Roman" w:cs="Times New Roman"/>
          <w:sz w:val="24"/>
          <w:szCs w:val="24"/>
        </w:rPr>
      </w:pPr>
    </w:p>
    <w:sectPr w:rsidR="0098671D" w:rsidRPr="005F0955" w:rsidSect="002374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4D08F" w14:textId="77777777" w:rsidR="008F231E" w:rsidRDefault="008F231E" w:rsidP="005F0955">
      <w:pPr>
        <w:spacing w:after="0" w:line="240" w:lineRule="auto"/>
      </w:pPr>
      <w:r>
        <w:separator/>
      </w:r>
    </w:p>
  </w:endnote>
  <w:endnote w:type="continuationSeparator" w:id="0">
    <w:p w14:paraId="5535D6D7" w14:textId="77777777" w:rsidR="008F231E" w:rsidRDefault="008F231E" w:rsidP="005F0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DE6C93" w14:textId="77777777" w:rsidR="008F231E" w:rsidRDefault="008F231E" w:rsidP="005F0955">
      <w:pPr>
        <w:spacing w:after="0" w:line="240" w:lineRule="auto"/>
      </w:pPr>
      <w:r>
        <w:separator/>
      </w:r>
    </w:p>
  </w:footnote>
  <w:footnote w:type="continuationSeparator" w:id="0">
    <w:p w14:paraId="12FE8637" w14:textId="77777777" w:rsidR="008F231E" w:rsidRDefault="008F231E" w:rsidP="005F0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62962E" w14:textId="77777777" w:rsidR="00237487" w:rsidRPr="00237487" w:rsidRDefault="00237487">
    <w:pPr>
      <w:pStyle w:val="Header"/>
      <w:rPr>
        <w:rFonts w:ascii="Times New Roman" w:hAnsi="Times New Roman" w:cs="Times New Roman"/>
        <w:sz w:val="24"/>
        <w:szCs w:val="24"/>
      </w:rPr>
    </w:pPr>
    <w:r w:rsidRPr="00237487">
      <w:rPr>
        <w:rFonts w:ascii="Times New Roman" w:hAnsi="Times New Roman" w:cs="Times New Roman"/>
        <w:sz w:val="24"/>
        <w:szCs w:val="24"/>
      </w:rPr>
      <w:t>RATIO ANALYSIS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B722A" w14:textId="77777777" w:rsidR="00237487" w:rsidRPr="00237487" w:rsidRDefault="00237487">
    <w:pPr>
      <w:pStyle w:val="Header"/>
      <w:rPr>
        <w:rFonts w:ascii="Times New Roman" w:hAnsi="Times New Roman" w:cs="Times New Roman"/>
        <w:sz w:val="24"/>
        <w:szCs w:val="24"/>
      </w:rPr>
    </w:pPr>
    <w:r w:rsidRPr="00237487">
      <w:rPr>
        <w:rFonts w:ascii="Times New Roman" w:hAnsi="Times New Roman" w:cs="Times New Roman"/>
        <w:sz w:val="24"/>
        <w:szCs w:val="24"/>
      </w:rPr>
      <w:t>Running head: RATIO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C5E"/>
    <w:rsid w:val="0008158C"/>
    <w:rsid w:val="00083387"/>
    <w:rsid w:val="000D047A"/>
    <w:rsid w:val="000D123A"/>
    <w:rsid w:val="00237487"/>
    <w:rsid w:val="003665ED"/>
    <w:rsid w:val="0038505F"/>
    <w:rsid w:val="003A6666"/>
    <w:rsid w:val="003B4CFA"/>
    <w:rsid w:val="005309F5"/>
    <w:rsid w:val="00567343"/>
    <w:rsid w:val="005F0955"/>
    <w:rsid w:val="005F3D4E"/>
    <w:rsid w:val="007618C7"/>
    <w:rsid w:val="007D4CE4"/>
    <w:rsid w:val="007D5515"/>
    <w:rsid w:val="0080362F"/>
    <w:rsid w:val="00831868"/>
    <w:rsid w:val="008C58E4"/>
    <w:rsid w:val="008F231E"/>
    <w:rsid w:val="00963C5E"/>
    <w:rsid w:val="0098671D"/>
    <w:rsid w:val="009B5FA4"/>
    <w:rsid w:val="00A02799"/>
    <w:rsid w:val="00AA67A7"/>
    <w:rsid w:val="00B80DF6"/>
    <w:rsid w:val="00BC27C8"/>
    <w:rsid w:val="00BF76C1"/>
    <w:rsid w:val="00CF2BEB"/>
    <w:rsid w:val="00CF7C7F"/>
    <w:rsid w:val="00D608CB"/>
    <w:rsid w:val="00D95467"/>
    <w:rsid w:val="00E03F99"/>
    <w:rsid w:val="00E734E2"/>
    <w:rsid w:val="00F114E0"/>
    <w:rsid w:val="00F43169"/>
    <w:rsid w:val="00FB3328"/>
    <w:rsid w:val="00FC4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49EA2"/>
  <w15:chartTrackingRefBased/>
  <w15:docId w15:val="{8A9C4AC4-BD3F-42E8-BBFF-81E9EA4B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9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5F09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F0955"/>
    <w:rPr>
      <w:sz w:val="20"/>
      <w:szCs w:val="20"/>
    </w:rPr>
  </w:style>
  <w:style w:type="character" w:styleId="EndnoteReference">
    <w:name w:val="endnote reference"/>
    <w:basedOn w:val="DefaultParagraphFont"/>
    <w:uiPriority w:val="99"/>
    <w:semiHidden/>
    <w:unhideWhenUsed/>
    <w:rsid w:val="005F0955"/>
    <w:rPr>
      <w:vertAlign w:val="superscript"/>
    </w:rPr>
  </w:style>
  <w:style w:type="character" w:customStyle="1" w:styleId="Heading1Char">
    <w:name w:val="Heading 1 Char"/>
    <w:basedOn w:val="DefaultParagraphFont"/>
    <w:link w:val="Heading1"/>
    <w:uiPriority w:val="9"/>
    <w:rsid w:val="005F095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F0955"/>
  </w:style>
  <w:style w:type="paragraph" w:styleId="Header">
    <w:name w:val="header"/>
    <w:basedOn w:val="Normal"/>
    <w:link w:val="HeaderChar"/>
    <w:uiPriority w:val="99"/>
    <w:unhideWhenUsed/>
    <w:rsid w:val="00237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487"/>
  </w:style>
  <w:style w:type="paragraph" w:styleId="Footer">
    <w:name w:val="footer"/>
    <w:basedOn w:val="Normal"/>
    <w:link w:val="FooterChar"/>
    <w:uiPriority w:val="99"/>
    <w:unhideWhenUsed/>
    <w:rsid w:val="00237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0986">
      <w:bodyDiv w:val="1"/>
      <w:marLeft w:val="0"/>
      <w:marRight w:val="0"/>
      <w:marTop w:val="0"/>
      <w:marBottom w:val="0"/>
      <w:divBdr>
        <w:top w:val="none" w:sz="0" w:space="0" w:color="auto"/>
        <w:left w:val="none" w:sz="0" w:space="0" w:color="auto"/>
        <w:bottom w:val="none" w:sz="0" w:space="0" w:color="auto"/>
        <w:right w:val="none" w:sz="0" w:space="0" w:color="auto"/>
      </w:divBdr>
    </w:div>
    <w:div w:id="116682087">
      <w:bodyDiv w:val="1"/>
      <w:marLeft w:val="0"/>
      <w:marRight w:val="0"/>
      <w:marTop w:val="0"/>
      <w:marBottom w:val="0"/>
      <w:divBdr>
        <w:top w:val="none" w:sz="0" w:space="0" w:color="auto"/>
        <w:left w:val="none" w:sz="0" w:space="0" w:color="auto"/>
        <w:bottom w:val="none" w:sz="0" w:space="0" w:color="auto"/>
        <w:right w:val="none" w:sz="0" w:space="0" w:color="auto"/>
      </w:divBdr>
    </w:div>
    <w:div w:id="175922298">
      <w:bodyDiv w:val="1"/>
      <w:marLeft w:val="0"/>
      <w:marRight w:val="0"/>
      <w:marTop w:val="0"/>
      <w:marBottom w:val="0"/>
      <w:divBdr>
        <w:top w:val="none" w:sz="0" w:space="0" w:color="auto"/>
        <w:left w:val="none" w:sz="0" w:space="0" w:color="auto"/>
        <w:bottom w:val="none" w:sz="0" w:space="0" w:color="auto"/>
        <w:right w:val="none" w:sz="0" w:space="0" w:color="auto"/>
      </w:divBdr>
    </w:div>
    <w:div w:id="423233280">
      <w:bodyDiv w:val="1"/>
      <w:marLeft w:val="0"/>
      <w:marRight w:val="0"/>
      <w:marTop w:val="0"/>
      <w:marBottom w:val="0"/>
      <w:divBdr>
        <w:top w:val="none" w:sz="0" w:space="0" w:color="auto"/>
        <w:left w:val="none" w:sz="0" w:space="0" w:color="auto"/>
        <w:bottom w:val="none" w:sz="0" w:space="0" w:color="auto"/>
        <w:right w:val="none" w:sz="0" w:space="0" w:color="auto"/>
      </w:divBdr>
      <w:divsChild>
        <w:div w:id="723523087">
          <w:marLeft w:val="0"/>
          <w:marRight w:val="0"/>
          <w:marTop w:val="0"/>
          <w:marBottom w:val="0"/>
          <w:divBdr>
            <w:top w:val="none" w:sz="0" w:space="0" w:color="auto"/>
            <w:left w:val="none" w:sz="0" w:space="0" w:color="auto"/>
            <w:bottom w:val="none" w:sz="0" w:space="0" w:color="auto"/>
            <w:right w:val="none" w:sz="0" w:space="0" w:color="auto"/>
          </w:divBdr>
        </w:div>
        <w:div w:id="1143157347">
          <w:marLeft w:val="0"/>
          <w:marRight w:val="0"/>
          <w:marTop w:val="0"/>
          <w:marBottom w:val="0"/>
          <w:divBdr>
            <w:top w:val="none" w:sz="0" w:space="0" w:color="auto"/>
            <w:left w:val="none" w:sz="0" w:space="0" w:color="auto"/>
            <w:bottom w:val="none" w:sz="0" w:space="0" w:color="auto"/>
            <w:right w:val="none" w:sz="0" w:space="0" w:color="auto"/>
          </w:divBdr>
        </w:div>
        <w:div w:id="101802656">
          <w:marLeft w:val="0"/>
          <w:marRight w:val="0"/>
          <w:marTop w:val="0"/>
          <w:marBottom w:val="0"/>
          <w:divBdr>
            <w:top w:val="none" w:sz="0" w:space="0" w:color="auto"/>
            <w:left w:val="none" w:sz="0" w:space="0" w:color="auto"/>
            <w:bottom w:val="none" w:sz="0" w:space="0" w:color="auto"/>
            <w:right w:val="none" w:sz="0" w:space="0" w:color="auto"/>
          </w:divBdr>
        </w:div>
        <w:div w:id="886646805">
          <w:marLeft w:val="0"/>
          <w:marRight w:val="0"/>
          <w:marTop w:val="0"/>
          <w:marBottom w:val="0"/>
          <w:divBdr>
            <w:top w:val="none" w:sz="0" w:space="0" w:color="auto"/>
            <w:left w:val="none" w:sz="0" w:space="0" w:color="auto"/>
            <w:bottom w:val="none" w:sz="0" w:space="0" w:color="auto"/>
            <w:right w:val="none" w:sz="0" w:space="0" w:color="auto"/>
          </w:divBdr>
        </w:div>
        <w:div w:id="1357075396">
          <w:marLeft w:val="0"/>
          <w:marRight w:val="0"/>
          <w:marTop w:val="0"/>
          <w:marBottom w:val="0"/>
          <w:divBdr>
            <w:top w:val="none" w:sz="0" w:space="0" w:color="auto"/>
            <w:left w:val="none" w:sz="0" w:space="0" w:color="auto"/>
            <w:bottom w:val="none" w:sz="0" w:space="0" w:color="auto"/>
            <w:right w:val="none" w:sz="0" w:space="0" w:color="auto"/>
          </w:divBdr>
        </w:div>
      </w:divsChild>
    </w:div>
    <w:div w:id="869805736">
      <w:bodyDiv w:val="1"/>
      <w:marLeft w:val="0"/>
      <w:marRight w:val="0"/>
      <w:marTop w:val="0"/>
      <w:marBottom w:val="0"/>
      <w:divBdr>
        <w:top w:val="none" w:sz="0" w:space="0" w:color="auto"/>
        <w:left w:val="none" w:sz="0" w:space="0" w:color="auto"/>
        <w:bottom w:val="none" w:sz="0" w:space="0" w:color="auto"/>
        <w:right w:val="none" w:sz="0" w:space="0" w:color="auto"/>
      </w:divBdr>
    </w:div>
    <w:div w:id="883172696">
      <w:bodyDiv w:val="1"/>
      <w:marLeft w:val="0"/>
      <w:marRight w:val="0"/>
      <w:marTop w:val="0"/>
      <w:marBottom w:val="0"/>
      <w:divBdr>
        <w:top w:val="none" w:sz="0" w:space="0" w:color="auto"/>
        <w:left w:val="none" w:sz="0" w:space="0" w:color="auto"/>
        <w:bottom w:val="none" w:sz="0" w:space="0" w:color="auto"/>
        <w:right w:val="none" w:sz="0" w:space="0" w:color="auto"/>
      </w:divBdr>
    </w:div>
    <w:div w:id="1439568696">
      <w:bodyDiv w:val="1"/>
      <w:marLeft w:val="0"/>
      <w:marRight w:val="0"/>
      <w:marTop w:val="0"/>
      <w:marBottom w:val="0"/>
      <w:divBdr>
        <w:top w:val="none" w:sz="0" w:space="0" w:color="auto"/>
        <w:left w:val="none" w:sz="0" w:space="0" w:color="auto"/>
        <w:bottom w:val="none" w:sz="0" w:space="0" w:color="auto"/>
        <w:right w:val="none" w:sz="0" w:space="0" w:color="auto"/>
      </w:divBdr>
    </w:div>
    <w:div w:id="1555697986">
      <w:bodyDiv w:val="1"/>
      <w:marLeft w:val="0"/>
      <w:marRight w:val="0"/>
      <w:marTop w:val="0"/>
      <w:marBottom w:val="0"/>
      <w:divBdr>
        <w:top w:val="none" w:sz="0" w:space="0" w:color="auto"/>
        <w:left w:val="none" w:sz="0" w:space="0" w:color="auto"/>
        <w:bottom w:val="none" w:sz="0" w:space="0" w:color="auto"/>
        <w:right w:val="none" w:sz="0" w:space="0" w:color="auto"/>
      </w:divBdr>
    </w:div>
    <w:div w:id="1608809757">
      <w:bodyDiv w:val="1"/>
      <w:marLeft w:val="0"/>
      <w:marRight w:val="0"/>
      <w:marTop w:val="0"/>
      <w:marBottom w:val="0"/>
      <w:divBdr>
        <w:top w:val="none" w:sz="0" w:space="0" w:color="auto"/>
        <w:left w:val="none" w:sz="0" w:space="0" w:color="auto"/>
        <w:bottom w:val="none" w:sz="0" w:space="0" w:color="auto"/>
        <w:right w:val="none" w:sz="0" w:space="0" w:color="auto"/>
      </w:divBdr>
    </w:div>
    <w:div w:id="1900440756">
      <w:bodyDiv w:val="1"/>
      <w:marLeft w:val="0"/>
      <w:marRight w:val="0"/>
      <w:marTop w:val="0"/>
      <w:marBottom w:val="0"/>
      <w:divBdr>
        <w:top w:val="none" w:sz="0" w:space="0" w:color="auto"/>
        <w:left w:val="none" w:sz="0" w:space="0" w:color="auto"/>
        <w:bottom w:val="none" w:sz="0" w:space="0" w:color="auto"/>
        <w:right w:val="none" w:sz="0" w:space="0" w:color="auto"/>
      </w:divBdr>
      <w:divsChild>
        <w:div w:id="1615937537">
          <w:marLeft w:val="0"/>
          <w:marRight w:val="0"/>
          <w:marTop w:val="0"/>
          <w:marBottom w:val="0"/>
          <w:divBdr>
            <w:top w:val="none" w:sz="0" w:space="0" w:color="auto"/>
            <w:left w:val="none" w:sz="0" w:space="0" w:color="auto"/>
            <w:bottom w:val="none" w:sz="0" w:space="0" w:color="auto"/>
            <w:right w:val="none" w:sz="0" w:space="0" w:color="auto"/>
          </w:divBdr>
        </w:div>
        <w:div w:id="2049987094">
          <w:marLeft w:val="0"/>
          <w:marRight w:val="0"/>
          <w:marTop w:val="0"/>
          <w:marBottom w:val="0"/>
          <w:divBdr>
            <w:top w:val="none" w:sz="0" w:space="0" w:color="auto"/>
            <w:left w:val="none" w:sz="0" w:space="0" w:color="auto"/>
            <w:bottom w:val="none" w:sz="0" w:space="0" w:color="auto"/>
            <w:right w:val="none" w:sz="0" w:space="0" w:color="auto"/>
          </w:divBdr>
        </w:div>
        <w:div w:id="908229398">
          <w:marLeft w:val="0"/>
          <w:marRight w:val="0"/>
          <w:marTop w:val="0"/>
          <w:marBottom w:val="0"/>
          <w:divBdr>
            <w:top w:val="none" w:sz="0" w:space="0" w:color="auto"/>
            <w:left w:val="none" w:sz="0" w:space="0" w:color="auto"/>
            <w:bottom w:val="none" w:sz="0" w:space="0" w:color="auto"/>
            <w:right w:val="none" w:sz="0" w:space="0" w:color="auto"/>
          </w:divBdr>
        </w:div>
        <w:div w:id="540678534">
          <w:marLeft w:val="0"/>
          <w:marRight w:val="0"/>
          <w:marTop w:val="0"/>
          <w:marBottom w:val="0"/>
          <w:divBdr>
            <w:top w:val="none" w:sz="0" w:space="0" w:color="auto"/>
            <w:left w:val="none" w:sz="0" w:space="0" w:color="auto"/>
            <w:bottom w:val="none" w:sz="0" w:space="0" w:color="auto"/>
            <w:right w:val="none" w:sz="0" w:space="0" w:color="auto"/>
          </w:divBdr>
        </w:div>
        <w:div w:id="12500401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Inn13</b:Tag>
    <b:SourceType>JournalArticle</b:SourceType>
    <b:Guid>{B1386A3F-B84B-4797-B40E-610A183FE866}</b:Guid>
    <b:Author>
      <b:Author>
        <b:NameList>
          <b:Person>
            <b:Last>Innocent</b:Last>
            <b:First>E.</b:First>
            <b:Middle>C., Mary, O. I., &amp; Matthew, O. M.</b:Middle>
          </b:Person>
        </b:NameList>
      </b:Author>
    </b:Author>
    <b:Title>Financial ratio analysis as a determinant of profitability in Nigerian pharmaceutical industry.  </b:Title>
    <b:JournalName>International journal of business and management,</b:JournalName>
    <b:Year>2013</b:Year>
    <b:Pages>8(8), 107.</b:Pages>
    <b:RefOrder>1</b:RefOrder>
  </b:Source>
  <b:Source>
    <b:Tag>Del134</b:Tag>
    <b:SourceType>JournalArticle</b:SourceType>
    <b:Guid>{465132E8-ECE8-4908-8CA8-9A845FF709C2}</b:Guid>
    <b:Author>
      <b:Author>
        <b:NameList>
          <b:Person>
            <b:Last>Delen</b:Last>
            <b:First>D.,</b:First>
            <b:Middle>Kuzey, C., &amp; Uyar, A.</b:Middle>
          </b:Person>
        </b:NameList>
      </b:Author>
    </b:Author>
    <b:Title>Measuring firm performance using financial ratios: , </b:Title>
    <b:JournalName>A decision tree approach. Expert Systems with Applications</b:JournalName>
    <b:Year>2013</b:Year>
    <b:Pages>40(10), 3970-3983</b:Pages>
    <b:RefOrder>2</b:RefOrder>
  </b:Source>
  <b:Source>
    <b:Tag>Kah13</b:Tag>
    <b:SourceType>JournalArticle</b:SourceType>
    <b:Guid>{B91186ED-22D5-4627-A943-DB91FEE9C388}</b:Guid>
    <b:Author>
      <b:Author>
        <b:NameList>
          <b:Person>
            <b:Last>Kahneman</b:Last>
            <b:First>D.,</b:First>
            <b:Middle>&amp; Tversky, A.</b:Middle>
          </b:Person>
        </b:NameList>
      </b:Author>
    </b:Author>
    <b:Title>Prospect theory: An analysis of decision under risk </b:Title>
    <b:JournalName>In Handbook of the fundamentals of financial decision making:</b:JournalName>
    <b:Year>2013</b:Year>
    <b:Pages>Part I (pp. 99-127).</b:Pages>
    <b:RefOrder>3</b:RefOrder>
  </b:Source>
</b:Sources>
</file>

<file path=customXml/itemProps1.xml><?xml version="1.0" encoding="utf-8"?>
<ds:datastoreItem xmlns:ds="http://schemas.openxmlformats.org/officeDocument/2006/customXml" ds:itemID="{966593E4-CCD4-4A6F-8325-2CAEB92E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1288</Words>
  <Characters>7084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Alice</dc:creator>
  <cp:keywords/>
  <dc:description/>
  <cp:lastModifiedBy>Clary O</cp:lastModifiedBy>
  <cp:revision>2</cp:revision>
  <dcterms:created xsi:type="dcterms:W3CDTF">2018-09-29T11:29:00Z</dcterms:created>
  <dcterms:modified xsi:type="dcterms:W3CDTF">2018-09-29T11:29:00Z</dcterms:modified>
</cp:coreProperties>
</file>